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3141B" w:rsidR="00E3141B" w:rsidP="5F7874F6" w:rsidRDefault="00E3141B" w14:paraId="09703F8D" w14:textId="77777777">
      <w:pPr>
        <w:numPr>
          <w:ilvl w:val="0"/>
          <w:numId w:val="5"/>
        </w:numPr>
        <w:rPr>
          <w:b w:val="1"/>
          <w:bCs w:val="1"/>
          <w:i w:val="1"/>
          <w:iCs w:val="1"/>
          <w:color w:val="auto"/>
        </w:rPr>
      </w:pPr>
      <w:r w:rsidRPr="5F7874F6" w:rsidR="29D2B89D">
        <w:rPr>
          <w:b w:val="1"/>
          <w:bCs w:val="1"/>
          <w:i w:val="1"/>
          <w:iCs w:val="1"/>
          <w:color w:val="auto"/>
        </w:rPr>
        <w:t>“Aprobación de lineamientos de transición del nuevo modelo de operación por procesos (…)”</w:t>
      </w:r>
    </w:p>
    <w:p w:rsidRPr="00E3141B" w:rsidR="00E3141B" w:rsidP="5F7874F6" w:rsidRDefault="00E3141B" w14:paraId="3242CAA8" w14:textId="77777777">
      <w:pPr>
        <w:rPr>
          <w:rFonts w:ascii="Aptos" w:hAnsi="Aptos" w:eastAsia="Aptos" w:cs="Aptos" w:asciiTheme="minorAscii" w:hAnsiTheme="minorAscii" w:eastAsiaTheme="minorAscii" w:cstheme="minorAscii"/>
          <w:i w:val="1"/>
          <w:iCs w:val="1"/>
          <w:color w:val="auto"/>
        </w:rPr>
      </w:pPr>
      <w:r w:rsidRPr="5F7874F6" w:rsidR="29D2B89D">
        <w:rPr>
          <w:rFonts w:ascii="Aptos" w:hAnsi="Aptos" w:eastAsia="Aptos" w:cs="Aptos" w:asciiTheme="minorAscii" w:hAnsiTheme="minorAscii" w:eastAsiaTheme="minorAscii" w:cstheme="minorAscii"/>
          <w:i w:val="1"/>
          <w:iCs w:val="1"/>
          <w:color w:val="auto"/>
        </w:rPr>
        <w:t>Aunque se realizó una mesa de trabajo previa a la presentación del documento oficial, en la que se trataron aspectos directamente relacionados con la Oficina de Control Interno, persisten algunas inquietudes respecto de determinadas fases del documento y del proceso de transición.</w:t>
      </w:r>
    </w:p>
    <w:p w:rsidRPr="00E3141B" w:rsidR="00E3141B" w:rsidP="5F7874F6" w:rsidRDefault="00E3141B" w14:paraId="47655EFB" w14:textId="77777777">
      <w:pPr>
        <w:rPr>
          <w:rFonts w:ascii="Aptos" w:hAnsi="Aptos" w:eastAsia="Aptos" w:cs="Aptos" w:asciiTheme="minorAscii" w:hAnsiTheme="minorAscii" w:eastAsiaTheme="minorAscii" w:cstheme="minorAscii"/>
          <w:i w:val="1"/>
          <w:iCs w:val="1"/>
          <w:color w:val="auto"/>
        </w:rPr>
      </w:pPr>
      <w:r w:rsidRPr="5F7874F6" w:rsidR="29D2B89D">
        <w:rPr>
          <w:rFonts w:ascii="Aptos" w:hAnsi="Aptos" w:eastAsia="Aptos" w:cs="Aptos" w:asciiTheme="minorAscii" w:hAnsiTheme="minorAscii" w:eastAsiaTheme="minorAscii" w:cstheme="minorAscii"/>
          <w:i w:val="1"/>
          <w:iCs w:val="1"/>
          <w:color w:val="auto"/>
        </w:rPr>
        <w:t>En consecuencia, se presentan los siguientes interrogantes para su respectivo análisis y aclaración:</w:t>
      </w:r>
    </w:p>
    <w:p w:rsidRPr="00E3141B" w:rsidR="00E3141B" w:rsidP="5F7874F6" w:rsidRDefault="00E3141B" w14:paraId="7FF2ED64" w14:textId="77777777">
      <w:pPr>
        <w:rPr>
          <w:rFonts w:ascii="Aptos" w:hAnsi="Aptos" w:eastAsia="Aptos" w:cs="Aptos" w:asciiTheme="minorAscii" w:hAnsiTheme="minorAscii" w:eastAsiaTheme="minorAscii" w:cstheme="minorAscii"/>
          <w:b w:val="1"/>
          <w:bCs w:val="1"/>
          <w:i w:val="1"/>
          <w:iCs w:val="1"/>
          <w:color w:val="auto"/>
        </w:rPr>
      </w:pPr>
      <w:r w:rsidRPr="5F7874F6" w:rsidR="29D2B89D">
        <w:rPr>
          <w:rFonts w:ascii="Aptos" w:hAnsi="Aptos" w:eastAsia="Aptos" w:cs="Aptos" w:asciiTheme="minorAscii" w:hAnsiTheme="minorAscii" w:eastAsiaTheme="minorAscii" w:cstheme="minorAscii"/>
          <w:b w:val="1"/>
          <w:bCs w:val="1"/>
          <w:i w:val="1"/>
          <w:iCs w:val="1"/>
          <w:color w:val="auto"/>
        </w:rPr>
        <w:t>Frente al Esquema de responsabilidades:</w:t>
      </w:r>
    </w:p>
    <w:p w:rsidRPr="00E3141B" w:rsidR="00E3141B" w:rsidP="5F7874F6" w:rsidRDefault="00E3141B" w14:paraId="3FC1990D" w14:textId="7D39AF22">
      <w:pPr>
        <w:rPr>
          <w:rFonts w:ascii="Aptos" w:hAnsi="Aptos" w:eastAsia="Aptos" w:cs="Aptos" w:asciiTheme="minorAscii" w:hAnsiTheme="minorAscii" w:eastAsiaTheme="minorAscii" w:cstheme="minorAscii"/>
          <w:i w:val="1"/>
          <w:iCs w:val="1"/>
          <w:color w:val="auto"/>
        </w:rPr>
      </w:pPr>
      <w:r w:rsidRPr="5F7874F6" w:rsidR="29D2B89D">
        <w:rPr>
          <w:rFonts w:ascii="Aptos" w:hAnsi="Aptos" w:eastAsia="Aptos" w:cs="Aptos" w:asciiTheme="minorAscii" w:hAnsiTheme="minorAscii" w:eastAsiaTheme="minorAscii" w:cstheme="minorAscii"/>
          <w:i w:val="1"/>
          <w:iCs w:val="1"/>
          <w:color w:val="auto"/>
        </w:rPr>
        <w:t> </w:t>
      </w:r>
      <w:r w:rsidRPr="5F7874F6" w:rsidR="29D2B89D">
        <w:rPr>
          <w:rFonts w:ascii="Aptos" w:hAnsi="Aptos" w:eastAsia="Aptos" w:cs="Aptos" w:asciiTheme="minorAscii" w:hAnsiTheme="minorAscii" w:eastAsiaTheme="minorAscii" w:cstheme="minorAscii"/>
          <w:i w:val="1"/>
          <w:iCs w:val="1"/>
          <w:color w:val="auto"/>
        </w:rPr>
        <w:t>Considerando que en la página 7 se establece que el CIGD es la máxima instancia de entrada en operación por proceso, sin embargo, en algunos otros apartes del documento se dice que el GFO emite concepto de aprobación  </w:t>
      </w:r>
    </w:p>
    <w:p w:rsidR="00E3141B" w:rsidP="5F7874F6" w:rsidRDefault="00E3141B" w14:paraId="431761A2" w14:textId="77777777">
      <w:pPr>
        <w:numPr>
          <w:ilvl w:val="0"/>
          <w:numId w:val="6"/>
        </w:numPr>
        <w:rPr>
          <w:rFonts w:ascii="Aptos" w:hAnsi="Aptos" w:eastAsia="Aptos" w:cs="Aptos" w:asciiTheme="minorAscii" w:hAnsiTheme="minorAscii" w:eastAsiaTheme="minorAscii" w:cstheme="minorAscii"/>
          <w:b w:val="1"/>
          <w:bCs w:val="1"/>
          <w:color w:val="auto"/>
        </w:rPr>
      </w:pPr>
      <w:r w:rsidRPr="5F7874F6" w:rsidR="29D2B89D">
        <w:rPr>
          <w:rFonts w:ascii="Aptos" w:hAnsi="Aptos" w:eastAsia="Aptos" w:cs="Aptos" w:asciiTheme="minorAscii" w:hAnsiTheme="minorAscii" w:eastAsiaTheme="minorAscii" w:cstheme="minorAscii"/>
          <w:b w:val="1"/>
          <w:bCs w:val="1"/>
          <w:i w:val="1"/>
          <w:iCs w:val="1"/>
          <w:color w:val="auto"/>
        </w:rPr>
        <w:t>¿Quién tiene la decisión final para declarar un proceso listo para entrada en operación?</w:t>
      </w:r>
      <w:r w:rsidRPr="5F7874F6" w:rsidR="29D2B89D">
        <w:rPr>
          <w:rFonts w:ascii="Aptos" w:hAnsi="Aptos" w:eastAsia="Aptos" w:cs="Aptos" w:asciiTheme="minorAscii" w:hAnsiTheme="minorAscii" w:eastAsiaTheme="minorAscii" w:cstheme="minorAscii"/>
          <w:b w:val="1"/>
          <w:bCs w:val="1"/>
          <w:color w:val="auto"/>
        </w:rPr>
        <w:t> </w:t>
      </w:r>
    </w:p>
    <w:p w:rsidRPr="00F91553" w:rsidR="008F1D9C" w:rsidP="5F7874F6" w:rsidRDefault="008F1D9C" w14:paraId="2F32CA65" w14:textId="6605AEB8">
      <w:pPr>
        <w:ind w:left="720"/>
        <w:rPr>
          <w:rFonts w:ascii="Aptos" w:hAnsi="Aptos" w:eastAsia="Aptos" w:cs="Aptos" w:asciiTheme="minorAscii" w:hAnsiTheme="minorAscii" w:eastAsiaTheme="minorAscii" w:cstheme="minorAscii"/>
          <w:b w:val="1"/>
          <w:bCs w:val="1"/>
          <w:color w:val="156082" w:themeColor="accent1" w:themeTint="FF" w:themeShade="FF"/>
        </w:rPr>
      </w:pPr>
      <w:r w:rsidRPr="5F7874F6" w:rsidR="53567064">
        <w:rPr>
          <w:rFonts w:ascii="Aptos" w:hAnsi="Aptos" w:eastAsia="Aptos" w:cs="Aptos" w:asciiTheme="minorAscii" w:hAnsiTheme="minorAscii" w:eastAsiaTheme="minorAscii" w:cstheme="minorAscii"/>
          <w:b w:val="1"/>
          <w:bCs w:val="1"/>
          <w:color w:val="156082" w:themeColor="accent1" w:themeTint="FF" w:themeShade="FF"/>
        </w:rPr>
        <w:t>Respuesta</w:t>
      </w:r>
    </w:p>
    <w:p w:rsidR="2C5E28AF" w:rsidP="5F7874F6" w:rsidRDefault="2C5E28AF" w14:paraId="48DAC446" w14:textId="039BDB1B">
      <w:pPr>
        <w:spacing w:before="0" w:beforeAutospacing="off" w:after="160" w:afterAutospacing="off"/>
        <w:jc w:val="both"/>
        <w:rPr>
          <w:rFonts w:ascii="Aptos" w:hAnsi="Aptos" w:eastAsia="Aptos" w:cs="Aptos" w:asciiTheme="minorAscii" w:hAnsiTheme="minorAscii" w:eastAsiaTheme="minorAscii" w:cstheme="minorAscii"/>
          <w:noProof w:val="0"/>
          <w:color w:val="auto"/>
          <w:sz w:val="24"/>
          <w:szCs w:val="24"/>
          <w:lang w:val="es-MX"/>
        </w:rPr>
      </w:pPr>
      <w:r w:rsidRPr="5F7874F6" w:rsidR="2C5E28AF">
        <w:rPr>
          <w:rFonts w:ascii="Aptos" w:hAnsi="Aptos" w:eastAsia="Aptos" w:cs="Aptos" w:asciiTheme="minorAscii" w:hAnsiTheme="minorAscii" w:eastAsiaTheme="minorAscii" w:cstheme="minorAscii"/>
          <w:noProof w:val="0"/>
          <w:color w:val="auto"/>
          <w:sz w:val="24"/>
          <w:szCs w:val="24"/>
          <w:lang w:val="es-MX"/>
        </w:rPr>
        <w:t>La decisión final y formal recae exclusivamente sobre el Comité Institucional de Gestión y Desempeño (CIGD), al ser la máxima instancia estratégica encargada de ejercer la rectoría del proyecto y validar la entrada en operación formal de los procesos. Por su parte, el Grupo de Fortalecimiento Organizacional (GFO) actúa como Segunda Línea de Defensa emitiendo el "Concepto Técnico de Viabilidad" o verificando los requisitos de salida. Este concepto funciona como una condición técnica indispensable para avanzar, pero no reemplaza la declaratoria oficial de inicio que debe emitir el Comité.</w:t>
      </w:r>
    </w:p>
    <w:p w:rsidR="2C5E28AF" w:rsidP="5F7874F6" w:rsidRDefault="2C5E28AF" w14:paraId="33A4E8B3" w14:textId="37F62566">
      <w:pPr>
        <w:spacing w:before="0" w:beforeAutospacing="off" w:after="160" w:afterAutospacing="off"/>
        <w:jc w:val="both"/>
        <w:rPr>
          <w:rFonts w:ascii="Aptos" w:hAnsi="Aptos" w:eastAsia="Aptos" w:cs="Aptos" w:asciiTheme="minorAscii" w:hAnsiTheme="minorAscii" w:eastAsiaTheme="minorAscii" w:cstheme="minorAscii"/>
          <w:noProof w:val="0"/>
          <w:color w:val="auto"/>
          <w:sz w:val="24"/>
          <w:szCs w:val="24"/>
          <w:lang w:val="es-MX"/>
        </w:rPr>
      </w:pPr>
      <w:r w:rsidRPr="5F7874F6" w:rsidR="2C5E28AF">
        <w:rPr>
          <w:rFonts w:ascii="Aptos" w:hAnsi="Aptos" w:eastAsia="Aptos" w:cs="Aptos" w:asciiTheme="minorAscii" w:hAnsiTheme="minorAscii" w:eastAsiaTheme="minorAscii" w:cstheme="minorAscii"/>
          <w:noProof w:val="0"/>
          <w:color w:val="auto"/>
          <w:sz w:val="24"/>
          <w:szCs w:val="24"/>
          <w:lang w:val="es-MX"/>
        </w:rPr>
        <w:t>Ahora bien, entendiendo que cada proceso avanza a un ritmo diferente y requiere tiempos de maduración distintos, la presentación ante el CIGD podrá gestionarse de la forma que resulte más eficiente para la entidad, buscando siempre evitar el desgaste administrativo de llevar cada proceso de manera estrictamente individual.</w:t>
      </w:r>
    </w:p>
    <w:p w:rsidR="2C5E28AF" w:rsidP="5F7874F6" w:rsidRDefault="2C5E28AF" w14:paraId="68FD3FAF" w14:textId="41A5D544">
      <w:pPr>
        <w:spacing w:before="0" w:beforeAutospacing="off" w:after="160" w:afterAutospacing="off"/>
        <w:jc w:val="both"/>
        <w:rPr>
          <w:rFonts w:ascii="Aptos" w:hAnsi="Aptos" w:eastAsia="Aptos" w:cs="Aptos" w:asciiTheme="minorAscii" w:hAnsiTheme="minorAscii" w:eastAsiaTheme="minorAscii" w:cstheme="minorAscii"/>
          <w:noProof w:val="0"/>
          <w:color w:val="auto"/>
          <w:sz w:val="24"/>
          <w:szCs w:val="24"/>
          <w:lang w:val="es-MX"/>
        </w:rPr>
      </w:pPr>
      <w:r w:rsidRPr="5F7874F6" w:rsidR="2C5E28AF">
        <w:rPr>
          <w:rFonts w:ascii="Aptos" w:hAnsi="Aptos" w:eastAsia="Aptos" w:cs="Aptos" w:asciiTheme="minorAscii" w:hAnsiTheme="minorAscii" w:eastAsiaTheme="minorAscii" w:cstheme="minorAscii"/>
          <w:noProof w:val="0"/>
          <w:color w:val="auto"/>
          <w:sz w:val="24"/>
          <w:szCs w:val="24"/>
          <w:lang w:val="es-MX"/>
        </w:rPr>
        <w:t>A modo de ejemplo, la Oficina Asesora de Planeación (a través del GFO) podría optar por presentar los procesos mediante bloques consolidados o "grupos" de cumplimiento. Una alternativa práctica para esto sería agruparlos utilizando los Niveles de Intervención (Nivel 1, Nivel 2 y Nivel 3):</w:t>
      </w:r>
    </w:p>
    <w:p w:rsidR="2C5E28AF" w:rsidP="5F7874F6" w:rsidRDefault="2C5E28AF" w14:paraId="086D584C" w14:textId="12B096A0">
      <w:pPr>
        <w:pStyle w:val="Prrafodelista"/>
        <w:numPr>
          <w:ilvl w:val="0"/>
          <w:numId w:val="11"/>
        </w:numPr>
        <w:tabs>
          <w:tab w:val="left" w:leader="none" w:pos="0"/>
          <w:tab w:val="left" w:leader="none" w:pos="0"/>
          <w:tab w:val="left" w:leader="none" w:pos="0"/>
          <w:tab w:val="left" w:leader="none" w:pos="0"/>
          <w:tab w:val="left" w:leader="none" w:pos="0"/>
          <w:tab w:val="left" w:leader="none" w:pos="0"/>
          <w:tab w:val="left" w:leader="none" w:pos="720"/>
        </w:tabs>
        <w:spacing w:before="0" w:beforeAutospacing="off" w:after="160" w:afterAutospacing="off"/>
        <w:jc w:val="both"/>
        <w:rPr>
          <w:rFonts w:ascii="Aptos" w:hAnsi="Aptos" w:eastAsia="Aptos" w:cs="Aptos" w:asciiTheme="minorAscii" w:hAnsiTheme="minorAscii" w:eastAsiaTheme="minorAscii" w:cstheme="minorAscii"/>
          <w:noProof w:val="0"/>
          <w:color w:val="auto"/>
          <w:sz w:val="24"/>
          <w:szCs w:val="24"/>
          <w:lang w:val="es-MX"/>
        </w:rPr>
      </w:pPr>
      <w:r w:rsidRPr="5F7874F6" w:rsidR="2C5E28AF">
        <w:rPr>
          <w:rFonts w:ascii="Aptos" w:hAnsi="Aptos" w:eastAsia="Aptos" w:cs="Aptos" w:asciiTheme="minorAscii" w:hAnsiTheme="minorAscii" w:eastAsiaTheme="minorAscii" w:cstheme="minorAscii"/>
          <w:noProof w:val="0"/>
          <w:color w:val="auto"/>
          <w:sz w:val="24"/>
          <w:szCs w:val="24"/>
          <w:lang w:val="es-MX"/>
        </w:rPr>
        <w:t>Si varios procesos de un mismo bloque (por ejemplo, los clasificados en el Nivel 3) alcanzan el cumplimiento de sus condiciones habilitantes en fechas cercanas, el GFO podría consolidar un informe técnico conjunto.</w:t>
      </w:r>
    </w:p>
    <w:p w:rsidR="2C5E28AF" w:rsidP="5F7874F6" w:rsidRDefault="2C5E28AF" w14:paraId="2F7A93C6" w14:textId="7401AA1C">
      <w:pPr>
        <w:pStyle w:val="Prrafodelista"/>
        <w:numPr>
          <w:ilvl w:val="0"/>
          <w:numId w:val="11"/>
        </w:numPr>
        <w:tabs>
          <w:tab w:val="left" w:leader="none" w:pos="0"/>
          <w:tab w:val="left" w:leader="none" w:pos="0"/>
          <w:tab w:val="left" w:leader="none" w:pos="0"/>
          <w:tab w:val="left" w:leader="none" w:pos="0"/>
          <w:tab w:val="left" w:leader="none" w:pos="0"/>
          <w:tab w:val="left" w:leader="none" w:pos="0"/>
          <w:tab w:val="left" w:leader="none" w:pos="720"/>
        </w:tabs>
        <w:spacing w:before="0" w:beforeAutospacing="off" w:after="160" w:afterAutospacing="off"/>
        <w:jc w:val="both"/>
        <w:rPr>
          <w:rFonts w:ascii="Aptos" w:hAnsi="Aptos" w:eastAsia="Aptos" w:cs="Aptos" w:asciiTheme="minorAscii" w:hAnsiTheme="minorAscii" w:eastAsiaTheme="minorAscii" w:cstheme="minorAscii"/>
          <w:noProof w:val="0"/>
          <w:color w:val="auto"/>
          <w:sz w:val="24"/>
          <w:szCs w:val="24"/>
          <w:lang w:val="es-MX"/>
        </w:rPr>
      </w:pPr>
      <w:r w:rsidRPr="5F7874F6" w:rsidR="2C5E28AF">
        <w:rPr>
          <w:rFonts w:ascii="Aptos" w:hAnsi="Aptos" w:eastAsia="Aptos" w:cs="Aptos" w:asciiTheme="minorAscii" w:hAnsiTheme="minorAscii" w:eastAsiaTheme="minorAscii" w:cstheme="minorAscii"/>
          <w:noProof w:val="0"/>
          <w:color w:val="auto"/>
          <w:sz w:val="24"/>
          <w:szCs w:val="24"/>
          <w:lang w:val="es-MX"/>
        </w:rPr>
        <w:t>Bajo este escenario de ejemplo, el CIGD validaría y declararía la Entrada en Operación formal de ese bloque completo en una sola sesión, optimizando la agenda directiva.</w:t>
      </w:r>
    </w:p>
    <w:p w:rsidR="2C5E28AF" w:rsidP="5F7874F6" w:rsidRDefault="2C5E28AF" w14:paraId="3542AE59" w14:textId="1A4BD78B">
      <w:pPr>
        <w:spacing w:before="0" w:beforeAutospacing="off" w:after="160" w:afterAutospacing="off"/>
        <w:jc w:val="both"/>
        <w:rPr>
          <w:rFonts w:ascii="Aptos" w:hAnsi="Aptos" w:eastAsia="Aptos" w:cs="Aptos" w:asciiTheme="minorAscii" w:hAnsiTheme="minorAscii" w:eastAsiaTheme="minorAscii" w:cstheme="minorAscii"/>
          <w:noProof w:val="0"/>
          <w:color w:val="auto"/>
          <w:sz w:val="24"/>
          <w:szCs w:val="24"/>
          <w:lang w:val="es-MX"/>
        </w:rPr>
      </w:pPr>
      <w:r w:rsidRPr="5F7874F6" w:rsidR="2C5E28AF">
        <w:rPr>
          <w:rFonts w:ascii="Aptos" w:hAnsi="Aptos" w:eastAsia="Aptos" w:cs="Aptos" w:asciiTheme="minorAscii" w:hAnsiTheme="minorAscii" w:eastAsiaTheme="minorAscii" w:cstheme="minorAscii"/>
          <w:noProof w:val="0"/>
          <w:color w:val="auto"/>
          <w:sz w:val="24"/>
          <w:szCs w:val="24"/>
          <w:lang w:val="es-MX"/>
        </w:rPr>
        <w:t>Cabe resaltar que agruparlos por niveles se plantea únicamente como un ejemplo o sugerencia operativa para agilizar los trámites. La metodología exacta de presentación no está condicionada a esta estructura y dependerá enteramente de la evolución real, la capacidad y la dinámica de avance que vaya demostrando cada equipo de trabajo.</w:t>
      </w:r>
    </w:p>
    <w:p w:rsidR="5F7874F6" w:rsidP="5F7874F6" w:rsidRDefault="5F7874F6" w14:paraId="3908ABCA" w14:textId="02D49BD9">
      <w:pPr>
        <w:ind w:left="720"/>
        <w:rPr>
          <w:rFonts w:ascii="Aptos" w:hAnsi="Aptos" w:eastAsia="Aptos" w:cs="Aptos" w:asciiTheme="minorAscii" w:hAnsiTheme="minorAscii" w:eastAsiaTheme="minorAscii" w:cstheme="minorAscii"/>
          <w:b w:val="1"/>
          <w:bCs w:val="1"/>
          <w:color w:val="auto"/>
        </w:rPr>
      </w:pPr>
    </w:p>
    <w:p w:rsidR="00E3141B" w:rsidP="5F7874F6" w:rsidRDefault="00E3141B" w14:paraId="73096ED9" w14:textId="77777777">
      <w:pPr>
        <w:numPr>
          <w:ilvl w:val="0"/>
          <w:numId w:val="6"/>
        </w:numPr>
        <w:rPr>
          <w:rFonts w:ascii="Aptos" w:hAnsi="Aptos" w:eastAsia="Aptos" w:cs="Aptos" w:asciiTheme="minorAscii" w:hAnsiTheme="minorAscii" w:eastAsiaTheme="minorAscii" w:cstheme="minorAscii"/>
          <w:b w:val="1"/>
          <w:bCs w:val="1"/>
          <w:i w:val="1"/>
          <w:iCs w:val="1"/>
          <w:color w:val="auto"/>
        </w:rPr>
      </w:pPr>
      <w:r w:rsidRPr="5F7874F6" w:rsidR="29D2B89D">
        <w:rPr>
          <w:rFonts w:ascii="Aptos" w:hAnsi="Aptos" w:eastAsia="Aptos" w:cs="Aptos" w:asciiTheme="minorAscii" w:hAnsiTheme="minorAscii" w:eastAsiaTheme="minorAscii" w:cstheme="minorAscii"/>
          <w:b w:val="1"/>
          <w:bCs w:val="1"/>
          <w:i w:val="1"/>
          <w:iCs w:val="1"/>
          <w:color w:val="auto"/>
        </w:rPr>
        <w:t>¿Qué instancia resolverá conflictos de corresponsabilidad entre dependencias?</w:t>
      </w:r>
    </w:p>
    <w:p w:rsidR="00F91553" w:rsidP="5F7874F6" w:rsidRDefault="00F91553" w14:paraId="324E643E" w14:textId="77777777">
      <w:pPr>
        <w:ind w:left="360"/>
        <w:rPr>
          <w:rFonts w:ascii="Aptos" w:hAnsi="Aptos" w:eastAsia="Aptos" w:cs="Aptos" w:asciiTheme="minorAscii" w:hAnsiTheme="minorAscii" w:eastAsiaTheme="minorAscii" w:cstheme="minorAscii"/>
          <w:b w:val="1"/>
          <w:bCs w:val="1"/>
          <w:color w:val="156082" w:themeColor="accent1" w:themeTint="FF" w:themeShade="FF"/>
        </w:rPr>
      </w:pPr>
      <w:r w:rsidRPr="5F7874F6" w:rsidR="0B9B19CC">
        <w:rPr>
          <w:rFonts w:ascii="Aptos" w:hAnsi="Aptos" w:eastAsia="Aptos" w:cs="Aptos" w:asciiTheme="minorAscii" w:hAnsiTheme="minorAscii" w:eastAsiaTheme="minorAscii" w:cstheme="minorAscii"/>
          <w:b w:val="1"/>
          <w:bCs w:val="1"/>
          <w:color w:val="156082" w:themeColor="accent1" w:themeTint="FF" w:themeShade="FF"/>
        </w:rPr>
        <w:t>Respuesta</w:t>
      </w:r>
    </w:p>
    <w:p w:rsidRPr="00E3141B" w:rsidR="00F91553" w:rsidP="5F7874F6" w:rsidRDefault="00F91553" w14:paraId="535B8AB7" w14:textId="018882E2">
      <w:pPr>
        <w:spacing w:before="0" w:beforeAutospacing="off" w:after="160" w:afterAutospacing="off"/>
        <w:jc w:val="both"/>
        <w:rPr>
          <w:rFonts w:ascii="Aptos" w:hAnsi="Aptos" w:eastAsia="Aptos" w:cs="Aptos" w:asciiTheme="minorAscii" w:hAnsiTheme="minorAscii" w:eastAsiaTheme="minorAscii" w:cstheme="minorAscii"/>
          <w:b w:val="0"/>
          <w:bCs w:val="0"/>
          <w:noProof w:val="0"/>
          <w:color w:val="auto"/>
          <w:sz w:val="24"/>
          <w:szCs w:val="24"/>
          <w:lang w:val="es-MX"/>
        </w:rPr>
      </w:pPr>
      <w:r w:rsidRPr="5F7874F6" w:rsidR="4B3F6D0F">
        <w:rPr>
          <w:rFonts w:ascii="Aptos" w:hAnsi="Aptos" w:eastAsia="Aptos" w:cs="Aptos" w:asciiTheme="minorAscii" w:hAnsiTheme="minorAscii" w:eastAsiaTheme="minorAscii" w:cstheme="minorAscii"/>
          <w:b w:val="0"/>
          <w:bCs w:val="0"/>
          <w:noProof w:val="0"/>
          <w:color w:val="auto"/>
          <w:sz w:val="24"/>
          <w:szCs w:val="24"/>
          <w:lang w:val="es-MX"/>
        </w:rPr>
        <w:t>Para abordar esta situación, el proyecto de rediseño plantea un esquema de resolución que inicia desde la prevención estricta en el diseño, hasta la escalada estratégica, operando bajo las siguientes instancias:</w:t>
      </w:r>
    </w:p>
    <w:p w:rsidRPr="00E3141B" w:rsidR="00F91553" w:rsidP="5F7874F6" w:rsidRDefault="00F91553" w14:paraId="50B0824D" w14:textId="774AF361">
      <w:pPr>
        <w:pStyle w:val="Prrafodelista"/>
        <w:numPr>
          <w:ilvl w:val="0"/>
          <w:numId w:val="12"/>
        </w:numPr>
        <w:tabs>
          <w:tab w:val="left" w:leader="none" w:pos="0"/>
          <w:tab w:val="left" w:leader="none" w:pos="0"/>
          <w:tab w:val="left" w:leader="none" w:pos="0"/>
          <w:tab w:val="left" w:leader="none" w:pos="0"/>
          <w:tab w:val="left" w:leader="none" w:pos="0"/>
          <w:tab w:val="left" w:leader="none" w:pos="0"/>
          <w:tab w:val="left" w:leader="none" w:pos="720"/>
        </w:tabs>
        <w:spacing w:before="0" w:beforeAutospacing="off" w:after="160" w:afterAutospacing="off"/>
        <w:jc w:val="both"/>
        <w:rPr>
          <w:rFonts w:ascii="Aptos" w:hAnsi="Aptos" w:eastAsia="Aptos" w:cs="Aptos" w:asciiTheme="minorAscii" w:hAnsiTheme="minorAscii" w:eastAsiaTheme="minorAscii" w:cstheme="minorAscii"/>
          <w:b w:val="0"/>
          <w:bCs w:val="0"/>
          <w:noProof w:val="0"/>
          <w:color w:val="auto"/>
          <w:sz w:val="24"/>
          <w:szCs w:val="24"/>
          <w:lang w:val="es-MX"/>
        </w:rPr>
      </w:pPr>
      <w:r w:rsidRPr="5F7874F6" w:rsidR="4B3F6D0F">
        <w:rPr>
          <w:rFonts w:ascii="Aptos" w:hAnsi="Aptos" w:eastAsia="Aptos" w:cs="Aptos" w:asciiTheme="minorAscii" w:hAnsiTheme="minorAscii" w:eastAsiaTheme="minorAscii" w:cstheme="minorAscii"/>
          <w:b w:val="1"/>
          <w:bCs w:val="1"/>
          <w:noProof w:val="0"/>
          <w:color w:val="auto"/>
          <w:sz w:val="24"/>
          <w:szCs w:val="24"/>
          <w:lang w:val="es-MX"/>
        </w:rPr>
        <w:t>Mecanismo preventivo (Etapa de Diseño)</w:t>
      </w:r>
      <w:r w:rsidRPr="5F7874F6" w:rsidR="4B3F6D0F">
        <w:rPr>
          <w:rFonts w:ascii="Aptos" w:hAnsi="Aptos" w:eastAsia="Aptos" w:cs="Aptos" w:asciiTheme="minorAscii" w:hAnsiTheme="minorAscii" w:eastAsiaTheme="minorAscii" w:cstheme="minorAscii"/>
          <w:b w:val="0"/>
          <w:bCs w:val="0"/>
          <w:noProof w:val="0"/>
          <w:color w:val="auto"/>
          <w:sz w:val="24"/>
          <w:szCs w:val="24"/>
          <w:lang w:val="es-MX"/>
        </w:rPr>
        <w:t>:</w:t>
      </w:r>
      <w:r w:rsidRPr="5F7874F6" w:rsidR="4B3F6D0F">
        <w:rPr>
          <w:rFonts w:ascii="Aptos" w:hAnsi="Aptos" w:eastAsia="Aptos" w:cs="Aptos" w:asciiTheme="minorAscii" w:hAnsiTheme="minorAscii" w:eastAsiaTheme="minorAscii" w:cstheme="minorAscii"/>
          <w:b w:val="0"/>
          <w:bCs w:val="0"/>
          <w:noProof w:val="0"/>
          <w:color w:val="auto"/>
          <w:sz w:val="24"/>
          <w:szCs w:val="24"/>
          <w:lang w:val="es-MX"/>
        </w:rPr>
        <w:t xml:space="preserve"> Para minimizar sustancialmente el riesgo de conflictos futuros, los lineamientos establecen un requisito indispensable en la fase de diseño: ninguna caracterización puede ingresar al flujo de aprobación en el aplicativo ISOLUCIÓN sin haber sido validada con todas las áreas corresponsables. Esta validación de tareas y cargas de trabajo debe documentarse obligatoriamente mediante la firma de un </w:t>
      </w:r>
      <w:r w:rsidRPr="5F7874F6" w:rsidR="4B3F6D0F">
        <w:rPr>
          <w:rFonts w:ascii="Aptos" w:hAnsi="Aptos" w:eastAsia="Aptos" w:cs="Aptos" w:asciiTheme="minorAscii" w:hAnsiTheme="minorAscii" w:eastAsiaTheme="minorAscii" w:cstheme="minorAscii"/>
          <w:b w:val="0"/>
          <w:bCs w:val="0"/>
          <w:noProof w:val="0"/>
          <w:color w:val="auto"/>
          <w:sz w:val="24"/>
          <w:szCs w:val="24"/>
          <w:lang w:val="es-MX"/>
        </w:rPr>
        <w:t>acta formal de reunión</w:t>
      </w:r>
      <w:r w:rsidRPr="5F7874F6" w:rsidR="4B3F6D0F">
        <w:rPr>
          <w:rFonts w:ascii="Aptos" w:hAnsi="Aptos" w:eastAsia="Aptos" w:cs="Aptos" w:asciiTheme="minorAscii" w:hAnsiTheme="minorAscii" w:eastAsiaTheme="minorAscii" w:cstheme="minorAscii"/>
          <w:b w:val="0"/>
          <w:bCs w:val="0"/>
          <w:noProof w:val="0"/>
          <w:color w:val="auto"/>
          <w:sz w:val="24"/>
          <w:szCs w:val="24"/>
          <w:lang w:val="es-MX"/>
        </w:rPr>
        <w:t xml:space="preserve"> en la que consten los acuerdos y ajustes realizados por todos los actores. Esta acta funciona como el acuerdo base u hoja de ruta que blinda la operación del proceso.</w:t>
      </w:r>
    </w:p>
    <w:p w:rsidRPr="00E3141B" w:rsidR="00F91553" w:rsidP="5F7874F6" w:rsidRDefault="00F91553" w14:paraId="67FB308A" w14:textId="28D53571">
      <w:pPr>
        <w:pStyle w:val="Prrafodelista"/>
        <w:numPr>
          <w:ilvl w:val="0"/>
          <w:numId w:val="12"/>
        </w:numPr>
        <w:tabs>
          <w:tab w:val="left" w:leader="none" w:pos="0"/>
          <w:tab w:val="left" w:leader="none" w:pos="0"/>
          <w:tab w:val="left" w:leader="none" w:pos="0"/>
          <w:tab w:val="left" w:leader="none" w:pos="0"/>
          <w:tab w:val="left" w:leader="none" w:pos="0"/>
          <w:tab w:val="left" w:leader="none" w:pos="0"/>
          <w:tab w:val="left" w:leader="none" w:pos="720"/>
        </w:tabs>
        <w:spacing w:before="0" w:beforeAutospacing="off" w:after="160" w:afterAutospacing="off"/>
        <w:jc w:val="both"/>
        <w:rPr>
          <w:rFonts w:ascii="Aptos" w:hAnsi="Aptos" w:eastAsia="Aptos" w:cs="Aptos" w:asciiTheme="minorAscii" w:hAnsiTheme="minorAscii" w:eastAsiaTheme="minorAscii" w:cstheme="minorAscii"/>
          <w:b w:val="0"/>
          <w:bCs w:val="0"/>
          <w:noProof w:val="0"/>
          <w:color w:val="auto"/>
          <w:sz w:val="24"/>
          <w:szCs w:val="24"/>
          <w:lang w:val="es-MX"/>
        </w:rPr>
      </w:pPr>
      <w:r w:rsidRPr="5F7874F6" w:rsidR="4B3F6D0F">
        <w:rPr>
          <w:rFonts w:ascii="Aptos" w:hAnsi="Aptos" w:eastAsia="Aptos" w:cs="Aptos" w:asciiTheme="minorAscii" w:hAnsiTheme="minorAscii" w:eastAsiaTheme="minorAscii" w:cstheme="minorAscii"/>
          <w:b w:val="1"/>
          <w:bCs w:val="1"/>
          <w:noProof w:val="0"/>
          <w:color w:val="auto"/>
          <w:sz w:val="24"/>
          <w:szCs w:val="24"/>
          <w:lang w:val="es-MX"/>
        </w:rPr>
        <w:t>Primera instancia (Líder del Proceso y OAP-GFO)</w:t>
      </w:r>
      <w:r w:rsidRPr="5F7874F6" w:rsidR="4B3F6D0F">
        <w:rPr>
          <w:rFonts w:ascii="Aptos" w:hAnsi="Aptos" w:eastAsia="Aptos" w:cs="Aptos" w:asciiTheme="minorAscii" w:hAnsiTheme="minorAscii" w:eastAsiaTheme="minorAscii" w:cstheme="minorAscii"/>
          <w:b w:val="0"/>
          <w:bCs w:val="0"/>
          <w:noProof w:val="0"/>
          <w:color w:val="auto"/>
          <w:sz w:val="24"/>
          <w:szCs w:val="24"/>
          <w:lang w:val="es-MX"/>
        </w:rPr>
        <w:t>:</w:t>
      </w:r>
      <w:r w:rsidRPr="5F7874F6" w:rsidR="4B3F6D0F">
        <w:rPr>
          <w:rFonts w:ascii="Aptos" w:hAnsi="Aptos" w:eastAsia="Aptos" w:cs="Aptos" w:asciiTheme="minorAscii" w:hAnsiTheme="minorAscii" w:eastAsiaTheme="minorAscii" w:cstheme="minorAscii"/>
          <w:b w:val="0"/>
          <w:bCs w:val="0"/>
          <w:noProof w:val="0"/>
          <w:color w:val="auto"/>
          <w:sz w:val="24"/>
          <w:szCs w:val="24"/>
          <w:lang w:val="es-MX"/>
        </w:rPr>
        <w:t xml:space="preserve"> Si durante la implementación o estabilización surgen diferencias operativas, la resolución recae inicialmente sobre el </w:t>
      </w:r>
      <w:r w:rsidRPr="5F7874F6" w:rsidR="4B3F6D0F">
        <w:rPr>
          <w:rFonts w:ascii="Aptos" w:hAnsi="Aptos" w:eastAsia="Aptos" w:cs="Aptos" w:asciiTheme="minorAscii" w:hAnsiTheme="minorAscii" w:eastAsiaTheme="minorAscii" w:cstheme="minorAscii"/>
          <w:b w:val="0"/>
          <w:bCs w:val="0"/>
          <w:noProof w:val="0"/>
          <w:color w:val="auto"/>
          <w:sz w:val="24"/>
          <w:szCs w:val="24"/>
          <w:lang w:val="es-MX"/>
        </w:rPr>
        <w:t>Líder del Proceso principal</w:t>
      </w:r>
      <w:r w:rsidRPr="5F7874F6" w:rsidR="4B3F6D0F">
        <w:rPr>
          <w:rFonts w:ascii="Aptos" w:hAnsi="Aptos" w:eastAsia="Aptos" w:cs="Aptos" w:asciiTheme="minorAscii" w:hAnsiTheme="minorAscii" w:eastAsiaTheme="minorAscii" w:cstheme="minorAscii"/>
          <w:b w:val="0"/>
          <w:bCs w:val="0"/>
          <w:noProof w:val="0"/>
          <w:color w:val="auto"/>
          <w:sz w:val="24"/>
          <w:szCs w:val="24"/>
          <w:lang w:val="es-MX"/>
        </w:rPr>
        <w:t xml:space="preserve">, quien tiene la responsabilidad de asegurar la coherencia técnica de la cadena de valor y debe aprobar previamente cualquier actualización propuesta por las áreas intervinientes. Para facilitar esta concertación y evitar bloqueos, la </w:t>
      </w:r>
      <w:r w:rsidRPr="5F7874F6" w:rsidR="4B3F6D0F">
        <w:rPr>
          <w:rFonts w:ascii="Aptos" w:hAnsi="Aptos" w:eastAsia="Aptos" w:cs="Aptos" w:asciiTheme="minorAscii" w:hAnsiTheme="minorAscii" w:eastAsiaTheme="minorAscii" w:cstheme="minorAscii"/>
          <w:b w:val="0"/>
          <w:bCs w:val="0"/>
          <w:noProof w:val="0"/>
          <w:color w:val="auto"/>
          <w:sz w:val="24"/>
          <w:szCs w:val="24"/>
          <w:lang w:val="es-MX"/>
        </w:rPr>
        <w:t>Oficina Asesora de Planeación, a través del Grupo de Fortalecimiento Organizacional (GFO)</w:t>
      </w:r>
      <w:r w:rsidRPr="5F7874F6" w:rsidR="4B3F6D0F">
        <w:rPr>
          <w:rFonts w:ascii="Aptos" w:hAnsi="Aptos" w:eastAsia="Aptos" w:cs="Aptos" w:asciiTheme="minorAscii" w:hAnsiTheme="minorAscii" w:eastAsiaTheme="minorAscii" w:cstheme="minorAscii"/>
          <w:b w:val="0"/>
          <w:bCs w:val="0"/>
          <w:noProof w:val="0"/>
          <w:color w:val="auto"/>
          <w:sz w:val="24"/>
          <w:szCs w:val="24"/>
          <w:lang w:val="es-MX"/>
        </w:rPr>
        <w:t>, realiza un acompañamiento y asesoría permanente; esta mediación se fundamenta en criterios técnicos y normativos soportados en documentos oficiales, como las funciones asignadas a cada área mediante actos administrativos institucionales, y en los compromisos pactados previamente en el acta de diseño.</w:t>
      </w:r>
    </w:p>
    <w:p w:rsidRPr="00E3141B" w:rsidR="00F91553" w:rsidP="5F7874F6" w:rsidRDefault="00F91553" w14:paraId="599D74F1" w14:textId="5951DD3B">
      <w:pPr>
        <w:pStyle w:val="Prrafodelista"/>
        <w:numPr>
          <w:ilvl w:val="0"/>
          <w:numId w:val="12"/>
        </w:numPr>
        <w:tabs>
          <w:tab w:val="left" w:leader="none" w:pos="0"/>
          <w:tab w:val="left" w:leader="none" w:pos="0"/>
          <w:tab w:val="left" w:leader="none" w:pos="0"/>
          <w:tab w:val="left" w:leader="none" w:pos="0"/>
          <w:tab w:val="left" w:leader="none" w:pos="0"/>
          <w:tab w:val="left" w:leader="none" w:pos="0"/>
          <w:tab w:val="left" w:leader="none" w:pos="720"/>
        </w:tabs>
        <w:spacing w:before="0" w:beforeAutospacing="off" w:after="160" w:afterAutospacing="off"/>
        <w:jc w:val="both"/>
        <w:rPr>
          <w:rFonts w:ascii="Aptos" w:hAnsi="Aptos" w:eastAsia="Aptos" w:cs="Aptos" w:asciiTheme="minorAscii" w:hAnsiTheme="minorAscii" w:eastAsiaTheme="minorAscii" w:cstheme="minorAscii"/>
          <w:b w:val="0"/>
          <w:bCs w:val="0"/>
          <w:noProof w:val="0"/>
          <w:color w:val="auto"/>
          <w:sz w:val="24"/>
          <w:szCs w:val="24"/>
          <w:lang w:val="es-MX"/>
        </w:rPr>
      </w:pPr>
      <w:r w:rsidRPr="5F7874F6" w:rsidR="4B3F6D0F">
        <w:rPr>
          <w:rFonts w:ascii="Aptos" w:hAnsi="Aptos" w:eastAsia="Aptos" w:cs="Aptos" w:asciiTheme="minorAscii" w:hAnsiTheme="minorAscii" w:eastAsiaTheme="minorAscii" w:cstheme="minorAscii"/>
          <w:b w:val="1"/>
          <w:bCs w:val="1"/>
          <w:noProof w:val="0"/>
          <w:color w:val="auto"/>
          <w:sz w:val="24"/>
          <w:szCs w:val="24"/>
          <w:lang w:val="es-MX"/>
        </w:rPr>
        <w:t>Instancia definitiva (CIGD)</w:t>
      </w:r>
      <w:r w:rsidRPr="5F7874F6" w:rsidR="4B3F6D0F">
        <w:rPr>
          <w:rFonts w:ascii="Aptos" w:hAnsi="Aptos" w:eastAsia="Aptos" w:cs="Aptos" w:asciiTheme="minorAscii" w:hAnsiTheme="minorAscii" w:eastAsiaTheme="minorAscii" w:cstheme="minorAscii"/>
          <w:b w:val="0"/>
          <w:bCs w:val="0"/>
          <w:noProof w:val="0"/>
          <w:color w:val="auto"/>
          <w:sz w:val="24"/>
          <w:szCs w:val="24"/>
          <w:lang w:val="es-MX"/>
        </w:rPr>
        <w:t>: Si el conflicto estratégico, de capacidades o recursos persiste y no logra ser resuelto por el líder del proceso ni con la asesoría del GFO, la controversia deberá escalar al Comité Institucional de Gestión y Desempeño (CIGD). Al ser la instancia estratégica que ejerce la rectoría del proyecto, este comité tomará la decisión final y vinculante para garantizar la correcta articulación institucional y viabilizar el modelo de operación.</w:t>
      </w:r>
    </w:p>
    <w:p w:rsidRPr="00E3141B" w:rsidR="00F91553" w:rsidP="5F7874F6" w:rsidRDefault="00F91553" w14:paraId="3C62B88A" w14:textId="350DB523">
      <w:pPr>
        <w:rPr>
          <w:rFonts w:ascii="Aptos" w:hAnsi="Aptos" w:eastAsia="Aptos" w:cs="Aptos" w:asciiTheme="minorAscii" w:hAnsiTheme="minorAscii" w:eastAsiaTheme="minorAscii" w:cstheme="minorAscii"/>
          <w:color w:val="auto"/>
        </w:rPr>
      </w:pPr>
    </w:p>
    <w:p w:rsidR="00E3141B" w:rsidP="5F7874F6" w:rsidRDefault="00E3141B" w14:paraId="4BEE6ED2" w14:textId="77777777">
      <w:pPr>
        <w:numPr>
          <w:ilvl w:val="0"/>
          <w:numId w:val="6"/>
        </w:numPr>
        <w:rPr>
          <w:rFonts w:ascii="Aptos" w:hAnsi="Aptos" w:eastAsia="Aptos" w:cs="Aptos" w:asciiTheme="minorAscii" w:hAnsiTheme="minorAscii" w:eastAsiaTheme="minorAscii" w:cstheme="minorAscii"/>
          <w:b w:val="1"/>
          <w:bCs w:val="1"/>
          <w:i w:val="1"/>
          <w:iCs w:val="1"/>
          <w:color w:val="auto"/>
        </w:rPr>
      </w:pPr>
      <w:r w:rsidRPr="5F7874F6" w:rsidR="29D2B89D">
        <w:rPr>
          <w:rFonts w:ascii="Aptos" w:hAnsi="Aptos" w:eastAsia="Aptos" w:cs="Aptos" w:asciiTheme="minorAscii" w:hAnsiTheme="minorAscii" w:eastAsiaTheme="minorAscii" w:cstheme="minorAscii"/>
          <w:b w:val="1"/>
          <w:bCs w:val="1"/>
          <w:i w:val="1"/>
          <w:iCs w:val="1"/>
          <w:color w:val="auto"/>
        </w:rPr>
        <w:t>¿El concepto técnico es suficiente para la entrada en operación de un proceso?</w:t>
      </w:r>
    </w:p>
    <w:p w:rsidRPr="00CE4D21" w:rsidR="00CE4D21" w:rsidP="5F7874F6" w:rsidRDefault="00CE4D21" w14:paraId="425F9C42" w14:textId="77777777">
      <w:pPr>
        <w:rPr>
          <w:rFonts w:ascii="Aptos" w:hAnsi="Aptos" w:eastAsia="Aptos" w:cs="Aptos" w:asciiTheme="minorAscii" w:hAnsiTheme="minorAscii" w:eastAsiaTheme="minorAscii" w:cstheme="minorAscii"/>
          <w:b w:val="1"/>
          <w:bCs w:val="1"/>
          <w:color w:val="156082" w:themeColor="accent1" w:themeTint="FF" w:themeShade="FF"/>
        </w:rPr>
      </w:pPr>
      <w:r w:rsidRPr="5F7874F6" w:rsidR="20BC3E4A">
        <w:rPr>
          <w:rFonts w:ascii="Aptos" w:hAnsi="Aptos" w:eastAsia="Aptos" w:cs="Aptos" w:asciiTheme="minorAscii" w:hAnsiTheme="minorAscii" w:eastAsiaTheme="minorAscii" w:cstheme="minorAscii"/>
          <w:b w:val="1"/>
          <w:bCs w:val="1"/>
          <w:color w:val="156082" w:themeColor="accent1" w:themeTint="FF" w:themeShade="FF"/>
        </w:rPr>
        <w:t>Respuesta</w:t>
      </w:r>
    </w:p>
    <w:p w:rsidR="3D0A5076" w:rsidP="5F7874F6" w:rsidRDefault="3D0A5076" w14:paraId="026D1A1E" w14:textId="3E6151F9">
      <w:pPr>
        <w:spacing w:before="0" w:beforeAutospacing="off" w:after="160" w:afterAutospacing="off"/>
        <w:rPr>
          <w:rFonts w:ascii="Aptos" w:hAnsi="Aptos" w:eastAsia="Aptos" w:cs="Aptos" w:asciiTheme="minorAscii" w:hAnsiTheme="minorAscii" w:eastAsiaTheme="minorAscii" w:cstheme="minorAscii"/>
          <w:b w:val="0"/>
          <w:bCs w:val="0"/>
          <w:noProof w:val="0"/>
          <w:color w:val="auto"/>
          <w:sz w:val="24"/>
          <w:szCs w:val="24"/>
          <w:lang w:val="es-MX"/>
        </w:rPr>
      </w:pPr>
      <w:r w:rsidRPr="5F7874F6" w:rsidR="3D0A5076">
        <w:rPr>
          <w:rFonts w:ascii="Aptos" w:hAnsi="Aptos" w:eastAsia="Aptos" w:cs="Aptos" w:asciiTheme="minorAscii" w:hAnsiTheme="minorAscii" w:eastAsiaTheme="minorAscii" w:cstheme="minorAscii"/>
          <w:b w:val="0"/>
          <w:bCs w:val="0"/>
          <w:noProof w:val="0"/>
          <w:color w:val="auto"/>
          <w:sz w:val="24"/>
          <w:szCs w:val="24"/>
          <w:lang w:val="es-MX"/>
        </w:rPr>
        <w:t>No es suficiente.</w:t>
      </w:r>
      <w:r w:rsidRPr="5F7874F6" w:rsidR="3D0A5076">
        <w:rPr>
          <w:rFonts w:ascii="Aptos" w:hAnsi="Aptos" w:eastAsia="Aptos" w:cs="Aptos" w:asciiTheme="minorAscii" w:hAnsiTheme="minorAscii" w:eastAsiaTheme="minorAscii" w:cstheme="minorAscii"/>
          <w:b w:val="0"/>
          <w:bCs w:val="0"/>
          <w:noProof w:val="0"/>
          <w:color w:val="auto"/>
          <w:sz w:val="24"/>
          <w:szCs w:val="24"/>
          <w:lang w:val="es-MX"/>
        </w:rPr>
        <w:t xml:space="preserve"> Si bien el Concepto Técnico de Viabilidad es una condición técnica rigurosa e indispensable, la facultad de declarar oficial y legalmente que un proceso entra en operación recae única y exclusivamente sobre el </w:t>
      </w:r>
      <w:r w:rsidRPr="5F7874F6" w:rsidR="3D0A5076">
        <w:rPr>
          <w:rFonts w:ascii="Aptos" w:hAnsi="Aptos" w:eastAsia="Aptos" w:cs="Aptos" w:asciiTheme="minorAscii" w:hAnsiTheme="minorAscii" w:eastAsiaTheme="minorAscii" w:cstheme="minorAscii"/>
          <w:b w:val="0"/>
          <w:bCs w:val="0"/>
          <w:noProof w:val="0"/>
          <w:color w:val="auto"/>
          <w:sz w:val="24"/>
          <w:szCs w:val="24"/>
          <w:lang w:val="es-MX"/>
        </w:rPr>
        <w:t>Comité Institucional de Gestión y Desempeño (CIGD)</w:t>
      </w:r>
      <w:r w:rsidRPr="5F7874F6" w:rsidR="3D0A5076">
        <w:rPr>
          <w:rFonts w:ascii="Aptos" w:hAnsi="Aptos" w:eastAsia="Aptos" w:cs="Aptos" w:asciiTheme="minorAscii" w:hAnsiTheme="minorAscii" w:eastAsiaTheme="minorAscii" w:cstheme="minorAscii"/>
          <w:b w:val="0"/>
          <w:bCs w:val="0"/>
          <w:noProof w:val="0"/>
          <w:color w:val="auto"/>
          <w:sz w:val="24"/>
          <w:szCs w:val="24"/>
          <w:lang w:val="es-MX"/>
        </w:rPr>
        <w:t>.</w:t>
      </w:r>
    </w:p>
    <w:p w:rsidR="3D0A5076" w:rsidP="5F7874F6" w:rsidRDefault="3D0A5076" w14:paraId="30A475B3" w14:textId="1416C231">
      <w:pPr>
        <w:spacing w:before="0" w:beforeAutospacing="off" w:after="160" w:afterAutospacing="off"/>
        <w:rPr>
          <w:rFonts w:ascii="Aptos" w:hAnsi="Aptos" w:eastAsia="Aptos" w:cs="Aptos" w:asciiTheme="minorAscii" w:hAnsiTheme="minorAscii" w:eastAsiaTheme="minorAscii" w:cstheme="minorAscii"/>
          <w:b w:val="0"/>
          <w:bCs w:val="0"/>
          <w:noProof w:val="0"/>
          <w:color w:val="auto"/>
          <w:sz w:val="24"/>
          <w:szCs w:val="24"/>
          <w:lang w:val="es-MX"/>
        </w:rPr>
      </w:pPr>
      <w:r w:rsidRPr="5F7874F6" w:rsidR="3D0A5076">
        <w:rPr>
          <w:rFonts w:ascii="Aptos" w:hAnsi="Aptos" w:eastAsia="Aptos" w:cs="Aptos" w:asciiTheme="minorAscii" w:hAnsiTheme="minorAscii" w:eastAsiaTheme="minorAscii" w:cstheme="minorAscii"/>
          <w:b w:val="0"/>
          <w:bCs w:val="0"/>
          <w:noProof w:val="0"/>
          <w:color w:val="auto"/>
          <w:sz w:val="24"/>
          <w:szCs w:val="24"/>
          <w:lang w:val="es-MX"/>
        </w:rPr>
        <w:t>El concepto técnico funciona como el respaldo probatorio y objetivo para que el CIGD pueda tomar la decisión final con total tranquilidad, autorizando la entrada en operación de los procesos, ya sea de forma individual o agrupados estratégicamente en bloques u "olas" de cumplimiento. Ningún proceso "nace" oficialmente en la entidad sin la validación definitiva de esta instancia directiva.</w:t>
      </w:r>
    </w:p>
    <w:p w:rsidR="3D0A5076" w:rsidP="5F7874F6" w:rsidRDefault="3D0A5076" w14:paraId="0D4C33F5" w14:textId="7F492D00">
      <w:pPr>
        <w:spacing w:before="0" w:beforeAutospacing="off" w:after="160" w:afterAutospacing="off"/>
        <w:rPr>
          <w:rFonts w:ascii="Aptos" w:hAnsi="Aptos" w:eastAsia="Aptos" w:cs="Aptos" w:asciiTheme="minorAscii" w:hAnsiTheme="minorAscii" w:eastAsiaTheme="minorAscii" w:cstheme="minorAscii"/>
          <w:b w:val="0"/>
          <w:bCs w:val="0"/>
          <w:noProof w:val="0"/>
          <w:color w:val="auto"/>
          <w:sz w:val="24"/>
          <w:szCs w:val="24"/>
          <w:lang w:val="es-MX"/>
        </w:rPr>
      </w:pPr>
      <w:r w:rsidRPr="5F7874F6" w:rsidR="3D0A5076">
        <w:rPr>
          <w:rFonts w:ascii="Aptos" w:hAnsi="Aptos" w:eastAsia="Aptos" w:cs="Aptos" w:asciiTheme="minorAscii" w:hAnsiTheme="minorAscii" w:eastAsiaTheme="minorAscii" w:cstheme="minorAscii"/>
          <w:b w:val="1"/>
          <w:bCs w:val="1"/>
          <w:noProof w:val="0"/>
          <w:color w:val="auto"/>
          <w:sz w:val="24"/>
          <w:szCs w:val="24"/>
          <w:lang w:val="es-MX"/>
        </w:rPr>
        <w:t>¿En qué consiste exactamente el Concepto Técnico de Viabilidad y cuáles son sus criterios?</w:t>
      </w:r>
      <w:r w:rsidRPr="5F7874F6" w:rsidR="3D0A5076">
        <w:rPr>
          <w:rFonts w:ascii="Aptos" w:hAnsi="Aptos" w:eastAsia="Aptos" w:cs="Aptos" w:asciiTheme="minorAscii" w:hAnsiTheme="minorAscii" w:eastAsiaTheme="minorAscii" w:cstheme="minorAscii"/>
          <w:b w:val="0"/>
          <w:bCs w:val="0"/>
          <w:noProof w:val="0"/>
          <w:color w:val="auto"/>
          <w:sz w:val="24"/>
          <w:szCs w:val="24"/>
          <w:lang w:val="es-MX"/>
        </w:rPr>
        <w:t xml:space="preserve"> Es una certificación formal emitida por el Grupo de Fortalecimiento Organizacional (GFO), en su rol de Segunda Línea de Defensa, aplicable de manera obligatoria para los procesos de Nivel 1 (Intervención Estructural). Este concepto certifica que el nuevo diseño metodológico fue aprobado y que cuenta con la habilitación funcional de</w:t>
      </w:r>
      <w:r w:rsidRPr="5F7874F6" w:rsidR="7D958BE7">
        <w:rPr>
          <w:rFonts w:ascii="Aptos" w:hAnsi="Aptos" w:eastAsia="Aptos" w:cs="Aptos" w:asciiTheme="minorAscii" w:hAnsiTheme="minorAscii" w:eastAsiaTheme="minorAscii" w:cstheme="minorAscii"/>
          <w:b w:val="0"/>
          <w:bCs w:val="0"/>
          <w:noProof w:val="0"/>
          <w:color w:val="auto"/>
          <w:sz w:val="24"/>
          <w:szCs w:val="24"/>
          <w:lang w:val="es-MX"/>
        </w:rPr>
        <w:t xml:space="preserve"> documentación, </w:t>
      </w:r>
      <w:r w:rsidRPr="5F7874F6" w:rsidR="3D0A5076">
        <w:rPr>
          <w:rFonts w:ascii="Aptos" w:hAnsi="Aptos" w:eastAsia="Aptos" w:cs="Aptos" w:asciiTheme="minorAscii" w:hAnsiTheme="minorAscii" w:eastAsiaTheme="minorAscii" w:cstheme="minorAscii"/>
          <w:b w:val="0"/>
          <w:bCs w:val="0"/>
          <w:noProof w:val="0"/>
          <w:color w:val="auto"/>
          <w:sz w:val="24"/>
          <w:szCs w:val="24"/>
          <w:lang w:val="es-MX"/>
        </w:rPr>
        <w:t>riesgos e indicadores.</w:t>
      </w:r>
    </w:p>
    <w:p w:rsidR="3D0A5076" w:rsidP="5F7874F6" w:rsidRDefault="3D0A5076" w14:paraId="6B7F2625" w14:textId="5D65E547">
      <w:pPr>
        <w:spacing w:before="0" w:beforeAutospacing="off" w:after="160" w:afterAutospacing="off"/>
        <w:rPr>
          <w:rFonts w:ascii="Aptos" w:hAnsi="Aptos" w:eastAsia="Aptos" w:cs="Aptos" w:asciiTheme="minorAscii" w:hAnsiTheme="minorAscii" w:eastAsiaTheme="minorAscii" w:cstheme="minorAscii"/>
          <w:b w:val="0"/>
          <w:bCs w:val="0"/>
          <w:noProof w:val="0"/>
          <w:color w:val="auto"/>
          <w:sz w:val="24"/>
          <w:szCs w:val="24"/>
          <w:lang w:val="es-MX"/>
        </w:rPr>
      </w:pPr>
      <w:r w:rsidRPr="5F7874F6" w:rsidR="3D0A5076">
        <w:rPr>
          <w:rFonts w:ascii="Aptos" w:hAnsi="Aptos" w:eastAsia="Aptos" w:cs="Aptos" w:asciiTheme="minorAscii" w:hAnsiTheme="minorAscii" w:eastAsiaTheme="minorAscii" w:cstheme="minorAscii"/>
          <w:b w:val="0"/>
          <w:bCs w:val="0"/>
          <w:noProof w:val="0"/>
          <w:color w:val="auto"/>
          <w:sz w:val="24"/>
          <w:szCs w:val="24"/>
          <w:lang w:val="es-MX"/>
        </w:rPr>
        <w:t xml:space="preserve">Para que el GFO otorgue este concepto, el proceso debe cumplir con un criterio estricto: la </w:t>
      </w:r>
      <w:r w:rsidRPr="5F7874F6" w:rsidR="3D0A5076">
        <w:rPr>
          <w:rFonts w:ascii="Aptos" w:hAnsi="Aptos" w:eastAsia="Aptos" w:cs="Aptos" w:asciiTheme="minorAscii" w:hAnsiTheme="minorAscii" w:eastAsiaTheme="minorAscii" w:cstheme="minorAscii"/>
          <w:b w:val="0"/>
          <w:bCs w:val="0"/>
          <w:noProof w:val="0"/>
          <w:color w:val="auto"/>
          <w:sz w:val="24"/>
          <w:szCs w:val="24"/>
          <w:lang w:val="es-MX"/>
        </w:rPr>
        <w:t>superación de las pruebas de adherencia</w:t>
      </w:r>
      <w:r w:rsidRPr="5F7874F6" w:rsidR="3D0A5076">
        <w:rPr>
          <w:rFonts w:ascii="Aptos" w:hAnsi="Aptos" w:eastAsia="Aptos" w:cs="Aptos" w:asciiTheme="minorAscii" w:hAnsiTheme="minorAscii" w:eastAsiaTheme="minorAscii" w:cstheme="minorAscii"/>
          <w:b w:val="0"/>
          <w:bCs w:val="0"/>
          <w:noProof w:val="0"/>
          <w:color w:val="auto"/>
          <w:sz w:val="24"/>
          <w:szCs w:val="24"/>
          <w:lang w:val="es-MX"/>
        </w:rPr>
        <w:t xml:space="preserve"> en un entorno piloto. Esto significa que el proceso debe demostrar un nivel de cumplimiento operativo </w:t>
      </w:r>
      <w:r w:rsidRPr="5F7874F6" w:rsidR="3D0A5076">
        <w:rPr>
          <w:rFonts w:ascii="Aptos" w:hAnsi="Aptos" w:eastAsia="Aptos" w:cs="Aptos" w:asciiTheme="minorAscii" w:hAnsiTheme="minorAscii" w:eastAsiaTheme="minorAscii" w:cstheme="minorAscii"/>
          <w:b w:val="0"/>
          <w:bCs w:val="0"/>
          <w:noProof w:val="0"/>
          <w:color w:val="auto"/>
          <w:sz w:val="24"/>
          <w:szCs w:val="24"/>
          <w:lang w:val="es-MX"/>
        </w:rPr>
        <w:t>igual o superior al 90%</w:t>
      </w:r>
      <w:r w:rsidRPr="5F7874F6" w:rsidR="3D0A5076">
        <w:rPr>
          <w:rFonts w:ascii="Aptos" w:hAnsi="Aptos" w:eastAsia="Aptos" w:cs="Aptos" w:asciiTheme="minorAscii" w:hAnsiTheme="minorAscii" w:eastAsiaTheme="minorAscii" w:cstheme="minorAscii"/>
          <w:b w:val="0"/>
          <w:bCs w:val="0"/>
          <w:noProof w:val="0"/>
          <w:color w:val="auto"/>
          <w:sz w:val="24"/>
          <w:szCs w:val="24"/>
          <w:lang w:val="es-MX"/>
        </w:rPr>
        <w:t xml:space="preserve"> en la verificación de sus procedimientos, indicadores y riesgos, ejecutados frente a condiciones reales del servicio.</w:t>
      </w:r>
    </w:p>
    <w:p w:rsidR="3D0A5076" w:rsidP="5F7874F6" w:rsidRDefault="3D0A5076" w14:paraId="2BF9B716" w14:textId="1D1CD7BC">
      <w:pPr>
        <w:spacing w:before="0" w:beforeAutospacing="off" w:after="160" w:afterAutospacing="off"/>
        <w:rPr>
          <w:rFonts w:ascii="Aptos" w:hAnsi="Aptos" w:eastAsia="Aptos" w:cs="Aptos" w:asciiTheme="minorAscii" w:hAnsiTheme="minorAscii" w:eastAsiaTheme="minorAscii" w:cstheme="minorAscii"/>
          <w:b w:val="0"/>
          <w:bCs w:val="0"/>
          <w:noProof w:val="0"/>
          <w:color w:val="auto"/>
          <w:sz w:val="24"/>
          <w:szCs w:val="24"/>
          <w:lang w:val="es-MX"/>
        </w:rPr>
      </w:pPr>
      <w:r w:rsidRPr="5F7874F6" w:rsidR="3D0A5076">
        <w:rPr>
          <w:rFonts w:ascii="Aptos" w:hAnsi="Aptos" w:eastAsia="Aptos" w:cs="Aptos" w:asciiTheme="minorAscii" w:hAnsiTheme="minorAscii" w:eastAsiaTheme="minorAscii" w:cstheme="minorAscii"/>
          <w:b w:val="1"/>
          <w:bCs w:val="1"/>
          <w:noProof w:val="0"/>
          <w:color w:val="auto"/>
          <w:sz w:val="24"/>
          <w:szCs w:val="24"/>
          <w:lang w:val="es-MX"/>
        </w:rPr>
        <w:t>Condiciones habilitantes adicionales (Sistemas Institucionales)</w:t>
      </w:r>
      <w:r w:rsidRPr="5F7874F6" w:rsidR="3D0A5076">
        <w:rPr>
          <w:rFonts w:ascii="Aptos" w:hAnsi="Aptos" w:eastAsia="Aptos" w:cs="Aptos" w:asciiTheme="minorAscii" w:hAnsiTheme="minorAscii" w:eastAsiaTheme="minorAscii" w:cstheme="minorAscii"/>
          <w:b w:val="0"/>
          <w:bCs w:val="0"/>
          <w:noProof w:val="0"/>
          <w:color w:val="auto"/>
          <w:sz w:val="24"/>
          <w:szCs w:val="24"/>
          <w:lang w:val="es-MX"/>
        </w:rPr>
        <w:t xml:space="preserve">: </w:t>
      </w:r>
      <w:r w:rsidRPr="5F7874F6" w:rsidR="7E42D043">
        <w:rPr>
          <w:rFonts w:ascii="Aptos" w:hAnsi="Aptos" w:eastAsia="Aptos" w:cs="Aptos" w:asciiTheme="minorAscii" w:hAnsiTheme="minorAscii" w:eastAsiaTheme="minorAscii" w:cstheme="minorAscii"/>
          <w:b w:val="0"/>
          <w:bCs w:val="0"/>
          <w:noProof w:val="0"/>
          <w:color w:val="auto"/>
          <w:sz w:val="24"/>
          <w:szCs w:val="24"/>
          <w:lang w:val="es-MX"/>
        </w:rPr>
        <w:t>El</w:t>
      </w:r>
      <w:r w:rsidRPr="5F7874F6" w:rsidR="3D0A5076">
        <w:rPr>
          <w:rFonts w:ascii="Aptos" w:hAnsi="Aptos" w:eastAsia="Aptos" w:cs="Aptos" w:asciiTheme="minorAscii" w:hAnsiTheme="minorAscii" w:eastAsiaTheme="minorAscii" w:cstheme="minorAscii"/>
          <w:b w:val="0"/>
          <w:bCs w:val="0"/>
          <w:noProof w:val="0"/>
          <w:color w:val="auto"/>
          <w:sz w:val="24"/>
          <w:szCs w:val="24"/>
          <w:lang w:val="es-MX"/>
        </w:rPr>
        <w:t xml:space="preserve"> Concepto Técnico de Viabilidad (para Nivel 1) y a la declaratoria formal del </w:t>
      </w:r>
      <w:r w:rsidRPr="5F7874F6" w:rsidR="17955294">
        <w:rPr>
          <w:rFonts w:ascii="Aptos" w:hAnsi="Aptos" w:eastAsia="Aptos" w:cs="Aptos" w:asciiTheme="minorAscii" w:hAnsiTheme="minorAscii" w:eastAsiaTheme="minorAscii" w:cstheme="minorAscii"/>
          <w:b w:val="0"/>
          <w:bCs w:val="0"/>
          <w:noProof w:val="0"/>
          <w:color w:val="auto"/>
          <w:sz w:val="24"/>
          <w:szCs w:val="24"/>
          <w:lang w:val="es-MX"/>
        </w:rPr>
        <w:t>CIGD, exige</w:t>
      </w:r>
      <w:r w:rsidRPr="5F7874F6" w:rsidR="3D0A5076">
        <w:rPr>
          <w:rFonts w:ascii="Aptos" w:hAnsi="Aptos" w:eastAsia="Aptos" w:cs="Aptos" w:asciiTheme="minorAscii" w:hAnsiTheme="minorAscii" w:eastAsiaTheme="minorAscii" w:cstheme="minorAscii"/>
          <w:b w:val="0"/>
          <w:bCs w:val="0"/>
          <w:noProof w:val="0"/>
          <w:color w:val="auto"/>
          <w:sz w:val="24"/>
          <w:szCs w:val="24"/>
          <w:lang w:val="es-MX"/>
        </w:rPr>
        <w:t xml:space="preserve"> que el líder del proceso garantice la </w:t>
      </w:r>
      <w:r w:rsidRPr="5F7874F6" w:rsidR="7A136D7A">
        <w:rPr>
          <w:rFonts w:ascii="Aptos" w:hAnsi="Aptos" w:eastAsia="Aptos" w:cs="Aptos" w:asciiTheme="minorAscii" w:hAnsiTheme="minorAscii" w:eastAsiaTheme="minorAscii" w:cstheme="minorAscii"/>
          <w:b w:val="0"/>
          <w:bCs w:val="0"/>
          <w:noProof w:val="0"/>
          <w:color w:val="auto"/>
          <w:sz w:val="24"/>
          <w:szCs w:val="24"/>
          <w:lang w:val="es-MX"/>
        </w:rPr>
        <w:t>ejecución de</w:t>
      </w:r>
      <w:r w:rsidRPr="5F7874F6" w:rsidR="3D0A5076">
        <w:rPr>
          <w:rFonts w:ascii="Aptos" w:hAnsi="Aptos" w:eastAsia="Aptos" w:cs="Aptos" w:asciiTheme="minorAscii" w:hAnsiTheme="minorAscii" w:eastAsiaTheme="minorAscii" w:cstheme="minorAscii"/>
          <w:b w:val="0"/>
          <w:bCs w:val="0"/>
          <w:noProof w:val="0"/>
          <w:color w:val="auto"/>
          <w:sz w:val="24"/>
          <w:szCs w:val="24"/>
          <w:lang w:val="es-MX"/>
        </w:rPr>
        <w:t xml:space="preserve"> las siguientes actividades críticas en los sistemas institucionales para materializar el arranque:</w:t>
      </w:r>
    </w:p>
    <w:p w:rsidR="3D0A5076" w:rsidP="5F7874F6" w:rsidRDefault="3D0A5076" w14:paraId="44DC7FC5" w14:textId="2FD2672C">
      <w:pPr>
        <w:pStyle w:val="Prrafodelista"/>
        <w:numPr>
          <w:ilvl w:val="0"/>
          <w:numId w:val="13"/>
        </w:numPr>
        <w:tabs>
          <w:tab w:val="left" w:leader="none" w:pos="0"/>
          <w:tab w:val="left" w:leader="none" w:pos="720"/>
        </w:tabs>
        <w:spacing w:before="0" w:beforeAutospacing="off" w:after="160" w:afterAutospacing="off"/>
        <w:rPr>
          <w:rFonts w:ascii="Aptos" w:hAnsi="Aptos" w:eastAsia="Aptos" w:cs="Aptos" w:asciiTheme="minorAscii" w:hAnsiTheme="minorAscii" w:eastAsiaTheme="minorAscii" w:cstheme="minorAscii"/>
          <w:noProof w:val="0"/>
          <w:color w:val="auto"/>
          <w:sz w:val="24"/>
          <w:szCs w:val="24"/>
          <w:lang w:val="es-MX"/>
        </w:rPr>
      </w:pPr>
      <w:r w:rsidRPr="5F7874F6" w:rsidR="3D0A5076">
        <w:rPr>
          <w:rFonts w:ascii="Aptos" w:hAnsi="Aptos" w:eastAsia="Aptos" w:cs="Aptos" w:asciiTheme="minorAscii" w:hAnsiTheme="minorAscii" w:eastAsiaTheme="minorAscii" w:cstheme="minorAscii"/>
          <w:b w:val="1"/>
          <w:bCs w:val="1"/>
          <w:noProof w:val="0"/>
          <w:color w:val="auto"/>
          <w:sz w:val="24"/>
          <w:szCs w:val="24"/>
          <w:lang w:val="es-MX"/>
        </w:rPr>
        <w:t>Habilitación documental:</w:t>
      </w:r>
      <w:r w:rsidRPr="5F7874F6" w:rsidR="3D0A5076">
        <w:rPr>
          <w:rFonts w:ascii="Aptos" w:hAnsi="Aptos" w:eastAsia="Aptos" w:cs="Aptos" w:asciiTheme="minorAscii" w:hAnsiTheme="minorAscii" w:eastAsiaTheme="minorAscii" w:cstheme="minorAscii"/>
          <w:noProof w:val="0"/>
          <w:color w:val="auto"/>
          <w:sz w:val="24"/>
          <w:szCs w:val="24"/>
          <w:lang w:val="es-MX"/>
        </w:rPr>
        <w:t xml:space="preserve"> Publicación oficial en el sistema de la documentación crítica priorizada para el arranque del proceso, guiada por el Plan de Transición Documental.</w:t>
      </w:r>
    </w:p>
    <w:p w:rsidR="3D0A5076" w:rsidP="5F7874F6" w:rsidRDefault="3D0A5076" w14:paraId="38732D54" w14:textId="16567281">
      <w:pPr>
        <w:pStyle w:val="Prrafodelista"/>
        <w:numPr>
          <w:ilvl w:val="0"/>
          <w:numId w:val="13"/>
        </w:numPr>
        <w:tabs>
          <w:tab w:val="left" w:leader="none" w:pos="0"/>
          <w:tab w:val="left" w:leader="none" w:pos="720"/>
        </w:tabs>
        <w:spacing w:before="0" w:beforeAutospacing="off" w:after="160" w:afterAutospacing="off"/>
        <w:rPr>
          <w:rFonts w:ascii="Aptos" w:hAnsi="Aptos" w:eastAsia="Aptos" w:cs="Aptos" w:asciiTheme="minorAscii" w:hAnsiTheme="minorAscii" w:eastAsiaTheme="minorAscii" w:cstheme="minorAscii"/>
          <w:noProof w:val="0"/>
          <w:color w:val="auto"/>
          <w:sz w:val="24"/>
          <w:szCs w:val="24"/>
          <w:lang w:val="es-MX"/>
        </w:rPr>
      </w:pPr>
      <w:r w:rsidRPr="5F7874F6" w:rsidR="3D0A5076">
        <w:rPr>
          <w:rFonts w:ascii="Aptos" w:hAnsi="Aptos" w:eastAsia="Aptos" w:cs="Aptos" w:asciiTheme="minorAscii" w:hAnsiTheme="minorAscii" w:eastAsiaTheme="minorAscii" w:cstheme="minorAscii"/>
          <w:b w:val="1"/>
          <w:bCs w:val="1"/>
          <w:noProof w:val="0"/>
          <w:color w:val="auto"/>
          <w:sz w:val="24"/>
          <w:szCs w:val="24"/>
          <w:lang w:val="es-MX"/>
        </w:rPr>
        <w:t>Activación de riesgos:</w:t>
      </w:r>
      <w:r w:rsidRPr="5F7874F6" w:rsidR="3D0A5076">
        <w:rPr>
          <w:rFonts w:ascii="Aptos" w:hAnsi="Aptos" w:eastAsia="Aptos" w:cs="Aptos" w:asciiTheme="minorAscii" w:hAnsiTheme="minorAscii" w:eastAsiaTheme="minorAscii" w:cstheme="minorAscii"/>
          <w:noProof w:val="0"/>
          <w:color w:val="auto"/>
          <w:sz w:val="24"/>
          <w:szCs w:val="24"/>
          <w:lang w:val="es-MX"/>
        </w:rPr>
        <w:t xml:space="preserve"> Iniciar la gestión formal de la nueva matriz de riesgos en ISOLUCIÓN.</w:t>
      </w:r>
    </w:p>
    <w:p w:rsidR="3D0A5076" w:rsidP="5F7874F6" w:rsidRDefault="3D0A5076" w14:paraId="060ECA0A" w14:textId="2408919C">
      <w:pPr>
        <w:pStyle w:val="Prrafodelista"/>
        <w:numPr>
          <w:ilvl w:val="0"/>
          <w:numId w:val="13"/>
        </w:numPr>
        <w:tabs>
          <w:tab w:val="left" w:leader="none" w:pos="0"/>
          <w:tab w:val="left" w:leader="none" w:pos="720"/>
        </w:tabs>
        <w:spacing w:before="0" w:beforeAutospacing="off" w:after="160" w:afterAutospacing="off"/>
        <w:rPr>
          <w:rFonts w:ascii="Aptos" w:hAnsi="Aptos" w:eastAsia="Aptos" w:cs="Aptos" w:asciiTheme="minorAscii" w:hAnsiTheme="minorAscii" w:eastAsiaTheme="minorAscii" w:cstheme="minorAscii"/>
          <w:noProof w:val="0"/>
          <w:color w:val="auto"/>
          <w:sz w:val="24"/>
          <w:szCs w:val="24"/>
          <w:lang w:val="es-MX"/>
        </w:rPr>
      </w:pPr>
      <w:r w:rsidRPr="5F7874F6" w:rsidR="3D0A5076">
        <w:rPr>
          <w:rFonts w:ascii="Aptos" w:hAnsi="Aptos" w:eastAsia="Aptos" w:cs="Aptos" w:asciiTheme="minorAscii" w:hAnsiTheme="minorAscii" w:eastAsiaTheme="minorAscii" w:cstheme="minorAscii"/>
          <w:b w:val="1"/>
          <w:bCs w:val="1"/>
          <w:noProof w:val="0"/>
          <w:color w:val="auto"/>
          <w:sz w:val="24"/>
          <w:szCs w:val="24"/>
          <w:lang w:val="es-MX"/>
        </w:rPr>
        <w:t>Activación de indicadores:</w:t>
      </w:r>
      <w:r w:rsidRPr="5F7874F6" w:rsidR="3D0A5076">
        <w:rPr>
          <w:rFonts w:ascii="Aptos" w:hAnsi="Aptos" w:eastAsia="Aptos" w:cs="Aptos" w:asciiTheme="minorAscii" w:hAnsiTheme="minorAscii" w:eastAsiaTheme="minorAscii" w:cstheme="minorAscii"/>
          <w:noProof w:val="0"/>
          <w:color w:val="auto"/>
          <w:sz w:val="24"/>
          <w:szCs w:val="24"/>
          <w:lang w:val="es-MX"/>
        </w:rPr>
        <w:t xml:space="preserve"> Iniciar la medición oficial y el reporte del nuevo módulo de indicadores de desempeño en el aplicativo SINIC.</w:t>
      </w:r>
    </w:p>
    <w:p w:rsidRPr="00E3141B" w:rsidR="00E3141B" w:rsidP="5F7874F6" w:rsidRDefault="00E3141B" w14:paraId="0D6261BF" w14:textId="77777777">
      <w:pPr>
        <w:rPr>
          <w:rFonts w:ascii="Aptos" w:hAnsi="Aptos" w:eastAsia="Aptos" w:cs="Aptos" w:asciiTheme="minorAscii" w:hAnsiTheme="minorAscii" w:eastAsiaTheme="minorAscii" w:cstheme="minorAscii"/>
          <w:b w:val="1"/>
          <w:bCs w:val="1"/>
          <w:i w:val="1"/>
          <w:iCs w:val="1"/>
          <w:color w:val="auto"/>
        </w:rPr>
      </w:pPr>
      <w:r w:rsidRPr="5F7874F6" w:rsidR="29D2B89D">
        <w:rPr>
          <w:rFonts w:ascii="Aptos" w:hAnsi="Aptos" w:eastAsia="Aptos" w:cs="Aptos" w:asciiTheme="minorAscii" w:hAnsiTheme="minorAscii" w:eastAsiaTheme="minorAscii" w:cstheme="minorAscii"/>
          <w:b w:val="1"/>
          <w:bCs w:val="1"/>
          <w:i w:val="1"/>
          <w:iCs w:val="1"/>
          <w:color w:val="auto"/>
        </w:rPr>
        <w:t>Frente a la Capacidad de Respuesta en el Nivel 1:</w:t>
      </w:r>
    </w:p>
    <w:p w:rsidRPr="00E3141B" w:rsidR="00E3141B" w:rsidP="5F7874F6" w:rsidRDefault="00E3141B" w14:paraId="124C98A2" w14:textId="77777777">
      <w:pPr>
        <w:rPr>
          <w:rFonts w:ascii="Aptos" w:hAnsi="Aptos" w:eastAsia="Aptos" w:cs="Aptos" w:asciiTheme="minorAscii" w:hAnsiTheme="minorAscii" w:eastAsiaTheme="minorAscii" w:cstheme="minorAscii"/>
          <w:i w:val="1"/>
          <w:iCs w:val="1"/>
          <w:color w:val="auto"/>
        </w:rPr>
      </w:pPr>
      <w:r w:rsidRPr="5F7874F6" w:rsidR="29D2B89D">
        <w:rPr>
          <w:rFonts w:ascii="Aptos" w:hAnsi="Aptos" w:eastAsia="Aptos" w:cs="Aptos" w:asciiTheme="minorAscii" w:hAnsiTheme="minorAscii" w:eastAsiaTheme="minorAscii" w:cstheme="minorAscii"/>
          <w:i w:val="1"/>
          <w:iCs w:val="1"/>
          <w:color w:val="auto"/>
        </w:rPr>
        <w:t>¿Qué planes de contingencia operativa tienen las dependencias misionales si un proceso de Nivel 1 reprueba las pruebas de adherencia en campo y el GFO le niega el Concepto Técnico de Viabilidad para entrar en operación?</w:t>
      </w:r>
    </w:p>
    <w:p w:rsidR="00E3141B" w:rsidP="5F7874F6" w:rsidRDefault="00E3141B" w14:paraId="151E4F06" w14:textId="7EFB1993">
      <w:pPr>
        <w:rPr>
          <w:rFonts w:ascii="Aptos" w:hAnsi="Aptos" w:eastAsia="Aptos" w:cs="Aptos" w:asciiTheme="minorAscii" w:hAnsiTheme="minorAscii" w:eastAsiaTheme="minorAscii" w:cstheme="minorAscii"/>
          <w:b w:val="1"/>
          <w:bCs w:val="1"/>
          <w:color w:val="156082" w:themeColor="accent1" w:themeTint="FF" w:themeShade="FF"/>
        </w:rPr>
      </w:pPr>
      <w:r w:rsidRPr="5F7874F6" w:rsidR="29D2B89D">
        <w:rPr>
          <w:rFonts w:ascii="Aptos" w:hAnsi="Aptos" w:eastAsia="Aptos" w:cs="Aptos" w:asciiTheme="minorAscii" w:hAnsiTheme="minorAscii" w:eastAsiaTheme="minorAscii" w:cstheme="minorAscii"/>
          <w:b w:val="1"/>
          <w:bCs w:val="1"/>
          <w:color w:val="156082" w:themeColor="accent1" w:themeTint="FF" w:themeShade="FF"/>
        </w:rPr>
        <w:t> </w:t>
      </w:r>
      <w:r w:rsidRPr="5F7874F6" w:rsidR="7E06E278">
        <w:rPr>
          <w:rFonts w:ascii="Aptos" w:hAnsi="Aptos" w:eastAsia="Aptos" w:cs="Aptos" w:asciiTheme="minorAscii" w:hAnsiTheme="minorAscii" w:eastAsiaTheme="minorAscii" w:cstheme="minorAscii"/>
          <w:b w:val="1"/>
          <w:bCs w:val="1"/>
          <w:color w:val="156082" w:themeColor="accent1" w:themeTint="FF" w:themeShade="FF"/>
        </w:rPr>
        <w:t>Respuesta</w:t>
      </w:r>
    </w:p>
    <w:p w:rsidR="0E7D47CE" w:rsidP="5F7874F6" w:rsidRDefault="0E7D47CE" w14:paraId="049F6B57" w14:textId="4ADEE02A">
      <w:pPr>
        <w:pStyle w:val="Normal"/>
        <w:suppressLineNumbers w:val="0"/>
        <w:bidi w:val="0"/>
        <w:spacing w:before="0" w:beforeAutospacing="off" w:after="160" w:afterAutospacing="off" w:line="278" w:lineRule="auto"/>
        <w:ind w:left="0" w:right="0"/>
        <w:jc w:val="left"/>
        <w:rPr>
          <w:rFonts w:ascii="Aptos" w:hAnsi="Aptos" w:eastAsia="Aptos" w:cs="Aptos" w:asciiTheme="minorAscii" w:hAnsiTheme="minorAscii" w:eastAsiaTheme="minorAscii" w:cstheme="minorAscii"/>
          <w:b w:val="0"/>
          <w:bCs w:val="0"/>
          <w:noProof w:val="0"/>
          <w:color w:val="auto"/>
          <w:sz w:val="24"/>
          <w:szCs w:val="24"/>
          <w:lang w:val="es-MX"/>
        </w:rPr>
      </w:pPr>
      <w:r w:rsidRPr="5F7874F6" w:rsidR="0E7D47CE">
        <w:rPr>
          <w:rFonts w:ascii="Aptos" w:hAnsi="Aptos" w:eastAsia="Aptos" w:cs="Aptos" w:asciiTheme="minorAscii" w:hAnsiTheme="minorAscii" w:eastAsiaTheme="minorAscii" w:cstheme="minorAscii"/>
          <w:b w:val="0"/>
          <w:bCs w:val="0"/>
          <w:noProof w:val="0"/>
          <w:color w:val="auto"/>
          <w:sz w:val="24"/>
          <w:szCs w:val="24"/>
          <w:lang w:val="es-MX"/>
        </w:rPr>
        <w:t xml:space="preserve">El plan de contingencia está inmerso en la misma naturaleza de la fase de Implementación Controlada. Al tratarse de un piloto que opera en condiciones </w:t>
      </w:r>
      <w:r w:rsidRPr="5F7874F6" w:rsidR="463F5511">
        <w:rPr>
          <w:rFonts w:ascii="Aptos" w:hAnsi="Aptos" w:eastAsia="Aptos" w:cs="Aptos" w:asciiTheme="minorAscii" w:hAnsiTheme="minorAscii" w:eastAsiaTheme="minorAscii" w:cstheme="minorAscii"/>
          <w:b w:val="0"/>
          <w:bCs w:val="0"/>
          <w:noProof w:val="0"/>
          <w:color w:val="auto"/>
          <w:sz w:val="24"/>
          <w:szCs w:val="24"/>
          <w:lang w:val="es-MX"/>
        </w:rPr>
        <w:t>reales,</w:t>
      </w:r>
      <w:r w:rsidRPr="5F7874F6" w:rsidR="0E7D47CE">
        <w:rPr>
          <w:rFonts w:ascii="Aptos" w:hAnsi="Aptos" w:eastAsia="Aptos" w:cs="Aptos" w:asciiTheme="minorAscii" w:hAnsiTheme="minorAscii" w:eastAsiaTheme="minorAscii" w:cstheme="minorAscii"/>
          <w:b w:val="0"/>
          <w:bCs w:val="0"/>
          <w:noProof w:val="0"/>
          <w:color w:val="auto"/>
          <w:sz w:val="24"/>
          <w:szCs w:val="24"/>
          <w:lang w:val="es-MX"/>
        </w:rPr>
        <w:t xml:space="preserve"> pero bajo un "entorno supervisado", el modelo antiguo no se ha apagado aún. Si el proceso no alcanza el 90% de cumplimiento exigido, la contingencia consiste en aplicar de manera ágil ajustes iterativos (ciclo Planear, Hacer, Verificar, Actuar). El equipo de trabajo del Proceso, con el acompañamiento de la Segunda Línea (GFO), deberá documentar e implementar correcciones tempranas operativas o metodológicas sobre el diseño fallido, recalibrando el proceso hasta que logre superar el umbral necesario para su viabilidad, evitando así traumatismos instituciona</w:t>
      </w:r>
      <w:r w:rsidRPr="5F7874F6" w:rsidR="0C3DD285">
        <w:rPr>
          <w:rFonts w:ascii="Aptos" w:hAnsi="Aptos" w:eastAsia="Aptos" w:cs="Aptos" w:asciiTheme="minorAscii" w:hAnsiTheme="minorAscii" w:eastAsiaTheme="minorAscii" w:cstheme="minorAscii"/>
          <w:b w:val="0"/>
          <w:bCs w:val="0"/>
          <w:noProof w:val="0"/>
          <w:color w:val="auto"/>
          <w:sz w:val="24"/>
          <w:szCs w:val="24"/>
          <w:lang w:val="es-MX"/>
        </w:rPr>
        <w:t>les o a los grupos de valor</w:t>
      </w:r>
    </w:p>
    <w:p w:rsidR="5F7874F6" w:rsidP="5F7874F6" w:rsidRDefault="5F7874F6" w14:paraId="6FE0754E" w14:textId="2A44F188">
      <w:pPr>
        <w:rPr>
          <w:rFonts w:ascii="Aptos" w:hAnsi="Aptos" w:eastAsia="Aptos" w:cs="Aptos" w:asciiTheme="minorAscii" w:hAnsiTheme="minorAscii" w:eastAsiaTheme="minorAscii" w:cstheme="minorAscii"/>
          <w:color w:val="auto"/>
        </w:rPr>
      </w:pPr>
    </w:p>
    <w:p w:rsidRPr="00E3141B" w:rsidR="00E3141B" w:rsidP="5F7874F6" w:rsidRDefault="00E3141B" w14:paraId="447D76E6" w14:textId="77777777">
      <w:pPr>
        <w:rPr>
          <w:rFonts w:ascii="Aptos" w:hAnsi="Aptos" w:eastAsia="Aptos" w:cs="Aptos" w:asciiTheme="minorAscii" w:hAnsiTheme="minorAscii" w:eastAsiaTheme="minorAscii" w:cstheme="minorAscii"/>
          <w:b w:val="1"/>
          <w:bCs w:val="1"/>
          <w:i w:val="1"/>
          <w:iCs w:val="1"/>
          <w:color w:val="auto"/>
        </w:rPr>
      </w:pPr>
      <w:r w:rsidRPr="5F7874F6" w:rsidR="29D2B89D">
        <w:rPr>
          <w:rFonts w:ascii="Aptos" w:hAnsi="Aptos" w:eastAsia="Aptos" w:cs="Aptos" w:asciiTheme="minorAscii" w:hAnsiTheme="minorAscii" w:eastAsiaTheme="minorAscii" w:cstheme="minorAscii"/>
          <w:b w:val="1"/>
          <w:bCs w:val="1"/>
          <w:i w:val="1"/>
          <w:iCs w:val="1"/>
          <w:color w:val="auto"/>
        </w:rPr>
        <w:t>Frente a las responsabilidades de Control Interno de Gestión</w:t>
      </w:r>
    </w:p>
    <w:p w:rsidRPr="00E3141B" w:rsidR="00E3141B" w:rsidP="5F7874F6" w:rsidRDefault="00E3141B" w14:paraId="1C47358A" w14:textId="77777777">
      <w:pPr>
        <w:numPr>
          <w:ilvl w:val="0"/>
          <w:numId w:val="7"/>
        </w:numPr>
        <w:rPr>
          <w:rFonts w:ascii="Aptos" w:hAnsi="Aptos" w:eastAsia="Aptos" w:cs="Aptos" w:asciiTheme="minorAscii" w:hAnsiTheme="minorAscii" w:eastAsiaTheme="minorAscii" w:cstheme="minorAscii"/>
          <w:i w:val="1"/>
          <w:iCs w:val="1"/>
          <w:color w:val="auto"/>
        </w:rPr>
      </w:pPr>
      <w:r w:rsidRPr="5F7874F6" w:rsidR="29D2B89D">
        <w:rPr>
          <w:rFonts w:ascii="Aptos" w:hAnsi="Aptos" w:eastAsia="Aptos" w:cs="Aptos" w:asciiTheme="minorAscii" w:hAnsiTheme="minorAscii" w:eastAsiaTheme="minorAscii" w:cstheme="minorAscii"/>
          <w:i w:val="1"/>
          <w:iCs w:val="1"/>
          <w:color w:val="auto"/>
        </w:rPr>
        <w:t>¿Cómo se garantizará la independencia de la OCI si participa activamente en actividades preventivas durante la transición?</w:t>
      </w:r>
    </w:p>
    <w:p w:rsidR="32DB2EDF" w:rsidP="5F7874F6" w:rsidRDefault="32DB2EDF" w14:paraId="0D6225D2">
      <w:pPr>
        <w:pStyle w:val="Normal"/>
        <w:ind w:left="0"/>
        <w:rPr>
          <w:rFonts w:ascii="Aptos" w:hAnsi="Aptos" w:eastAsia="Aptos" w:cs="Aptos" w:asciiTheme="minorAscii" w:hAnsiTheme="minorAscii" w:eastAsiaTheme="minorAscii" w:cstheme="minorAscii"/>
          <w:b w:val="1"/>
          <w:bCs w:val="1"/>
          <w:color w:val="156082" w:themeColor="accent1" w:themeTint="FF" w:themeShade="FF"/>
        </w:rPr>
      </w:pPr>
      <w:r w:rsidRPr="5F7874F6" w:rsidR="32DB2EDF">
        <w:rPr>
          <w:rFonts w:ascii="Aptos" w:hAnsi="Aptos" w:eastAsia="Aptos" w:cs="Aptos" w:asciiTheme="minorAscii" w:hAnsiTheme="minorAscii" w:eastAsiaTheme="minorAscii" w:cstheme="minorAscii"/>
          <w:b w:val="1"/>
          <w:bCs w:val="1"/>
          <w:color w:val="156082" w:themeColor="accent1" w:themeTint="FF" w:themeShade="FF"/>
        </w:rPr>
        <w:t>Respuesta</w:t>
      </w:r>
    </w:p>
    <w:p w:rsidR="60F06AD1" w:rsidP="5F7874F6" w:rsidRDefault="60F06AD1" w14:paraId="4467475D" w14:textId="76B07E8F">
      <w:pPr>
        <w:spacing w:before="0" w:beforeAutospacing="off" w:after="160" w:afterAutospacing="off"/>
        <w:ind w:left="360" w:right="0"/>
        <w:rPr>
          <w:rFonts w:ascii="Aptos" w:hAnsi="Aptos" w:eastAsia="Aptos" w:cs="Aptos" w:asciiTheme="minorAscii" w:hAnsiTheme="minorAscii" w:eastAsiaTheme="minorAscii" w:cstheme="minorAscii"/>
          <w:b w:val="0"/>
          <w:bCs w:val="0"/>
          <w:noProof w:val="0"/>
          <w:color w:val="auto"/>
          <w:sz w:val="24"/>
          <w:szCs w:val="24"/>
          <w:lang w:val="es-MX"/>
        </w:rPr>
      </w:pPr>
      <w:r w:rsidRPr="5F7874F6" w:rsidR="60F06AD1">
        <w:rPr>
          <w:rFonts w:ascii="Aptos" w:hAnsi="Aptos" w:eastAsia="Aptos" w:cs="Aptos" w:asciiTheme="minorAscii" w:hAnsiTheme="minorAscii" w:eastAsiaTheme="minorAscii" w:cstheme="minorAscii"/>
          <w:b w:val="0"/>
          <w:bCs w:val="0"/>
          <w:noProof w:val="0"/>
          <w:color w:val="auto"/>
          <w:sz w:val="24"/>
          <w:szCs w:val="24"/>
          <w:lang w:val="es-MX"/>
        </w:rPr>
        <w:t xml:space="preserve">La independencia de la Tercera Línea de Defensa se garantiza porque su participación preventiva se enmarca estrictamente en el </w:t>
      </w:r>
      <w:r w:rsidRPr="5F7874F6" w:rsidR="60F06AD1">
        <w:rPr>
          <w:rFonts w:ascii="Aptos" w:hAnsi="Aptos" w:eastAsia="Aptos" w:cs="Aptos" w:asciiTheme="minorAscii" w:hAnsiTheme="minorAscii" w:eastAsiaTheme="minorAscii" w:cstheme="minorAscii"/>
          <w:b w:val="0"/>
          <w:bCs w:val="0"/>
          <w:noProof w:val="0"/>
          <w:color w:val="auto"/>
          <w:sz w:val="24"/>
          <w:szCs w:val="24"/>
          <w:lang w:val="es-MX"/>
        </w:rPr>
        <w:t>rol de</w:t>
      </w:r>
      <w:r w:rsidRPr="5F7874F6" w:rsidR="60F06AD1">
        <w:rPr>
          <w:rFonts w:ascii="Aptos" w:hAnsi="Aptos" w:eastAsia="Aptos" w:cs="Aptos" w:asciiTheme="minorAscii" w:hAnsiTheme="minorAscii" w:eastAsiaTheme="minorAscii" w:cstheme="minorAscii"/>
          <w:b w:val="0"/>
          <w:bCs w:val="0"/>
          <w:noProof w:val="0"/>
          <w:color w:val="auto"/>
          <w:sz w:val="24"/>
          <w:szCs w:val="24"/>
          <w:lang w:val="es-MX"/>
        </w:rPr>
        <w:t xml:space="preserve"> "Enfoque hacia la Prevención" definido por el Departamento Administrativo de la Función Pública (DAFP). Durante las fases de diseño y alistamiento, la OCI actúa mediante asesoría, acompañamiento y la emisión de alertas tempranas con fines preventivos. La objetividad e independencia no se comprometen porque la OCI se limita a recomendar mejoras frente a posibles riesgos y controles, sin asumir responsabilidades de diseño, ejecución, revisión, supervisión o toma de decisiones administrativas, competencias que son exclusivas de la Primera y Segunda Línea de Defensa.</w:t>
      </w:r>
    </w:p>
    <w:p w:rsidRPr="00E3141B" w:rsidR="00E3141B" w:rsidP="5F7874F6" w:rsidRDefault="00E3141B" w14:paraId="72DDBCC1" w14:textId="77777777">
      <w:pPr>
        <w:numPr>
          <w:ilvl w:val="0"/>
          <w:numId w:val="7"/>
        </w:numPr>
        <w:rPr>
          <w:i w:val="1"/>
          <w:iCs w:val="1"/>
          <w:color w:val="auto"/>
        </w:rPr>
      </w:pPr>
      <w:r w:rsidRPr="5F7874F6" w:rsidR="29D2B89D">
        <w:rPr>
          <w:i w:val="1"/>
          <w:iCs w:val="1"/>
          <w:color w:val="auto"/>
        </w:rPr>
        <w:t>¿Qué criterios utilizará la OCI para determinar cuándo un proceso alcanzó la madurez suficiente para ser auditado?</w:t>
      </w:r>
    </w:p>
    <w:p w:rsidRPr="003758F6" w:rsidR="003758F6" w:rsidP="5F7874F6" w:rsidRDefault="003758F6" w14:paraId="362E638D" w14:textId="77777777">
      <w:pPr>
        <w:pStyle w:val="Normal"/>
        <w:ind w:left="0"/>
        <w:rPr>
          <w:b w:val="1"/>
          <w:bCs w:val="1"/>
          <w:color w:val="156082" w:themeColor="accent1" w:themeTint="FF" w:themeShade="FF"/>
        </w:rPr>
      </w:pPr>
      <w:r w:rsidRPr="5F7874F6" w:rsidR="112B92DD">
        <w:rPr>
          <w:b w:val="1"/>
          <w:bCs w:val="1"/>
          <w:color w:val="156082" w:themeColor="accent1" w:themeTint="FF" w:themeShade="FF"/>
        </w:rPr>
        <w:t>Respuesta</w:t>
      </w:r>
    </w:p>
    <w:p w:rsidR="183945F9" w:rsidP="5F7874F6" w:rsidRDefault="183945F9" w14:paraId="1F1ED5E4" w14:textId="564A6165">
      <w:pPr>
        <w:rPr>
          <w:color w:val="auto"/>
        </w:rPr>
      </w:pPr>
      <w:r w:rsidRPr="5F7874F6" w:rsidR="183945F9">
        <w:rPr>
          <w:color w:val="auto"/>
        </w:rPr>
        <w:t xml:space="preserve">La Oficina de Control Interno no incluirá automáticamente los nuevos procesos en su Plan Anual de Auditoría. El criterio fundamental será un análisis previo del estado de madurez y estabilización para priorizarlos dentro de su Universo de Auditoría. Para este análisis, la OCI utilizará la información de seguimiento </w:t>
      </w:r>
      <w:r w:rsidRPr="5F7874F6" w:rsidR="183945F9">
        <w:rPr>
          <w:color w:val="auto"/>
        </w:rPr>
        <w:t>continuo</w:t>
      </w:r>
      <w:r w:rsidRPr="5F7874F6" w:rsidR="183945F9">
        <w:rPr>
          <w:color w:val="auto"/>
        </w:rPr>
        <w:t xml:space="preserve"> suministrada por la Oficina Asesora de Planeación a través del GFO. A partir de estos datos, aplicará criterios de priorización basados en riesgos para determinar su ciclo de rotación, garantizando que la evaluación formal e independiente solo se aplique a los procesos que ya operan de forma consolidada y estable.</w:t>
      </w:r>
    </w:p>
    <w:p w:rsidRPr="00E3141B" w:rsidR="00E3141B" w:rsidP="5F7874F6" w:rsidRDefault="00E3141B" w14:paraId="46CA5FC3" w14:textId="77777777">
      <w:pPr>
        <w:rPr>
          <w:b w:val="1"/>
          <w:bCs w:val="1"/>
          <w:i w:val="1"/>
          <w:iCs w:val="1"/>
          <w:color w:val="auto"/>
        </w:rPr>
      </w:pPr>
      <w:r w:rsidRPr="5F7874F6" w:rsidR="29D2B89D">
        <w:rPr>
          <w:b w:val="1"/>
          <w:bCs w:val="1"/>
          <w:i w:val="1"/>
          <w:iCs w:val="1"/>
          <w:color w:val="auto"/>
        </w:rPr>
        <w:t>Frente a Riesgos</w:t>
      </w:r>
    </w:p>
    <w:p w:rsidR="00E3141B" w:rsidP="5F7874F6" w:rsidRDefault="00E3141B" w14:paraId="16BE3EE7" w14:textId="77777777">
      <w:pPr>
        <w:rPr>
          <w:i w:val="1"/>
          <w:iCs w:val="1"/>
          <w:color w:val="auto"/>
        </w:rPr>
      </w:pPr>
      <w:r w:rsidRPr="5F7874F6" w:rsidR="29D2B89D">
        <w:rPr>
          <w:i w:val="1"/>
          <w:iCs w:val="1"/>
          <w:color w:val="auto"/>
        </w:rPr>
        <w:t>¿Qué controles evitarán que se cierren riesgos antiguos sin haber validado la efectividad de los nuevos controles?</w:t>
      </w:r>
    </w:p>
    <w:p w:rsidRPr="00987CC6" w:rsidR="00987CC6" w:rsidP="5F7874F6" w:rsidRDefault="00987CC6" w14:paraId="4789B615" w14:textId="6CC1F365">
      <w:pPr>
        <w:rPr>
          <w:b w:val="1"/>
          <w:bCs w:val="1"/>
          <w:color w:val="156082" w:themeColor="accent1" w:themeTint="FF" w:themeShade="FF"/>
        </w:rPr>
      </w:pPr>
      <w:r w:rsidRPr="5F7874F6" w:rsidR="4E7AD3F9">
        <w:rPr>
          <w:b w:val="1"/>
          <w:bCs w:val="1"/>
          <w:color w:val="156082" w:themeColor="accent1" w:themeTint="FF" w:themeShade="FF"/>
        </w:rPr>
        <w:t>Respuesta:</w:t>
      </w:r>
    </w:p>
    <w:p w:rsidR="00C15E76" w:rsidP="5F7874F6" w:rsidRDefault="000516FD" w14:paraId="014FD4E6" w14:textId="665D95EF">
      <w:pPr>
        <w:rPr>
          <w:color w:val="auto"/>
        </w:rPr>
      </w:pPr>
      <w:r w:rsidRPr="5F7874F6" w:rsidR="74433F88">
        <w:rPr>
          <w:color w:val="auto"/>
        </w:rPr>
        <w:t>Los riesgos identificados y vigentes serán analizado</w:t>
      </w:r>
      <w:r w:rsidRPr="5F7874F6" w:rsidR="1B338ABE">
        <w:rPr>
          <w:color w:val="auto"/>
        </w:rPr>
        <w:t>s</w:t>
      </w:r>
      <w:r w:rsidRPr="5F7874F6" w:rsidR="74433F88">
        <w:rPr>
          <w:color w:val="auto"/>
        </w:rPr>
        <w:t xml:space="preserve"> por los responsables de proceso para determinar</w:t>
      </w:r>
      <w:r w:rsidRPr="5F7874F6" w:rsidR="40FEBFC4">
        <w:rPr>
          <w:color w:val="auto"/>
        </w:rPr>
        <w:t xml:space="preserve">: </w:t>
      </w:r>
    </w:p>
    <w:p w:rsidR="00C15E76" w:rsidP="5F7874F6" w:rsidRDefault="00C15E76" w14:paraId="74DF0271" w14:textId="77777777">
      <w:pPr>
        <w:pStyle w:val="Prrafodelista"/>
        <w:numPr>
          <w:ilvl w:val="0"/>
          <w:numId w:val="9"/>
        </w:numPr>
        <w:rPr>
          <w:color w:val="auto"/>
        </w:rPr>
      </w:pPr>
      <w:r w:rsidRPr="5F7874F6" w:rsidR="40FEBFC4">
        <w:rPr>
          <w:color w:val="auto"/>
        </w:rPr>
        <w:t>Proceso al que debe ser migrado</w:t>
      </w:r>
    </w:p>
    <w:p w:rsidR="00DB4851" w:rsidP="5F7874F6" w:rsidRDefault="00E34EB7" w14:paraId="531CF4F6" w14:textId="77777777">
      <w:pPr>
        <w:pStyle w:val="Prrafodelista"/>
        <w:numPr>
          <w:ilvl w:val="0"/>
          <w:numId w:val="9"/>
        </w:numPr>
        <w:rPr>
          <w:color w:val="auto"/>
        </w:rPr>
      </w:pPr>
      <w:r w:rsidRPr="5F7874F6" w:rsidR="5046B70E">
        <w:rPr>
          <w:color w:val="auto"/>
        </w:rPr>
        <w:t xml:space="preserve">Verificación de que los controles </w:t>
      </w:r>
      <w:r w:rsidRPr="5F7874F6" w:rsidR="68DC57CF">
        <w:rPr>
          <w:color w:val="auto"/>
        </w:rPr>
        <w:t>corresponden a las capacidades de operación del nuevo proceso</w:t>
      </w:r>
    </w:p>
    <w:p w:rsidR="00E3141B" w:rsidP="5F7874F6" w:rsidRDefault="00DB4851" w14:paraId="1B7FDE97" w14:textId="7AFDB52F">
      <w:pPr>
        <w:rPr>
          <w:color w:val="auto"/>
        </w:rPr>
      </w:pPr>
      <w:r w:rsidRPr="5F7874F6" w:rsidR="68DC57CF">
        <w:rPr>
          <w:color w:val="auto"/>
        </w:rPr>
        <w:t xml:space="preserve">Es preciso informar que no </w:t>
      </w:r>
      <w:r w:rsidRPr="5F7874F6" w:rsidR="38CBF904">
        <w:rPr>
          <w:color w:val="auto"/>
        </w:rPr>
        <w:t xml:space="preserve">se cerrarán riesgos antiguos hasta que éstos </w:t>
      </w:r>
      <w:r w:rsidRPr="5F7874F6" w:rsidR="734D2D2D">
        <w:rPr>
          <w:color w:val="auto"/>
        </w:rPr>
        <w:t>puedan ser articulados al nuevo proceso</w:t>
      </w:r>
      <w:r w:rsidRPr="5F7874F6" w:rsidR="6835E101">
        <w:rPr>
          <w:color w:val="auto"/>
        </w:rPr>
        <w:t>.</w:t>
      </w:r>
    </w:p>
    <w:p w:rsidR="0020035B" w:rsidP="5F7874F6" w:rsidRDefault="0020035B" w14:paraId="55851529" w14:textId="36A54620">
      <w:pPr>
        <w:rPr>
          <w:color w:val="auto"/>
        </w:rPr>
      </w:pPr>
      <w:r w:rsidRPr="5F7874F6" w:rsidR="6835E101">
        <w:rPr>
          <w:color w:val="auto"/>
        </w:rPr>
        <w:t xml:space="preserve">Solo se cerrarán riesgos que </w:t>
      </w:r>
      <w:r w:rsidRPr="5F7874F6" w:rsidR="66B93794">
        <w:rPr>
          <w:color w:val="auto"/>
        </w:rPr>
        <w:t xml:space="preserve">justifiquen: </w:t>
      </w:r>
    </w:p>
    <w:p w:rsidR="003D4249" w:rsidP="5F7874F6" w:rsidRDefault="002611E0" w14:paraId="720C2B4C" w14:textId="60F02878">
      <w:pPr>
        <w:pStyle w:val="Prrafodelista"/>
        <w:numPr>
          <w:ilvl w:val="0"/>
          <w:numId w:val="10"/>
        </w:numPr>
        <w:rPr>
          <w:color w:val="auto"/>
        </w:rPr>
      </w:pPr>
      <w:r w:rsidRPr="5F7874F6" w:rsidR="165187C0">
        <w:rPr>
          <w:color w:val="auto"/>
        </w:rPr>
        <w:t xml:space="preserve">Verificación </w:t>
      </w:r>
      <w:r w:rsidRPr="5F7874F6" w:rsidR="66B93794">
        <w:rPr>
          <w:color w:val="auto"/>
        </w:rPr>
        <w:t>que la actividad generadora del riesgo ya no existe, de lo contrario se tendrá que trasladar el riesgo a otro proceso</w:t>
      </w:r>
    </w:p>
    <w:p w:rsidR="003D4249" w:rsidP="5F7874F6" w:rsidRDefault="003D4249" w14:paraId="57E60090" w14:textId="6E5D59F4">
      <w:pPr>
        <w:pStyle w:val="Prrafodelista"/>
        <w:numPr>
          <w:ilvl w:val="0"/>
          <w:numId w:val="10"/>
        </w:numPr>
        <w:rPr>
          <w:color w:val="auto"/>
        </w:rPr>
      </w:pPr>
      <w:r w:rsidRPr="5F7874F6" w:rsidR="66B93794">
        <w:rPr>
          <w:color w:val="auto"/>
        </w:rPr>
        <w:t xml:space="preserve">Cambio en la normatividad o tecnología. Cuando una nueva ley, un decreto o la implementación de un sistema tecnológico avanzado elimina por completo la posibilidad de que el hecho ocurra. </w:t>
      </w:r>
    </w:p>
    <w:p w:rsidR="00AC1C9F" w:rsidP="5F7874F6" w:rsidRDefault="003D4249" w14:paraId="04CB751B" w14:textId="12E40F9D">
      <w:pPr>
        <w:pStyle w:val="Prrafodelista"/>
        <w:numPr>
          <w:ilvl w:val="0"/>
          <w:numId w:val="10"/>
        </w:numPr>
        <w:rPr>
          <w:color w:val="auto"/>
        </w:rPr>
      </w:pPr>
      <w:r w:rsidRPr="5F7874F6" w:rsidR="66B93794">
        <w:rPr>
          <w:color w:val="auto"/>
        </w:rPr>
        <w:t>Error metodológico en la identificación inicial. Si al revisar la matriz se evidencia que lo que se había redactado no era un riesgo, sino una causa, un impacto o un problema que ya estaba materializado</w:t>
      </w:r>
    </w:p>
    <w:p w:rsidRPr="00E3141B" w:rsidR="00987CC6" w:rsidP="5F7874F6" w:rsidRDefault="00987CC6" w14:paraId="00CC62D8" w14:textId="77777777">
      <w:pPr>
        <w:rPr>
          <w:color w:val="auto"/>
        </w:rPr>
      </w:pPr>
    </w:p>
    <w:p w:rsidRPr="00E3141B" w:rsidR="00E3141B" w:rsidP="5F7874F6" w:rsidRDefault="00E3141B" w14:paraId="40D06C0A" w14:textId="77777777">
      <w:pPr>
        <w:rPr>
          <w:b w:val="1"/>
          <w:bCs w:val="1"/>
          <w:i w:val="1"/>
          <w:iCs w:val="1"/>
          <w:color w:val="auto"/>
        </w:rPr>
      </w:pPr>
      <w:r w:rsidRPr="5F7874F6" w:rsidR="29D2B89D">
        <w:rPr>
          <w:b w:val="1"/>
          <w:bCs w:val="1"/>
          <w:i w:val="1"/>
          <w:iCs w:val="1"/>
          <w:color w:val="auto"/>
        </w:rPr>
        <w:t>Frente a la Depuración en ISOLUCIÓN y Archivo:</w:t>
      </w:r>
    </w:p>
    <w:p w:rsidR="00E3141B" w:rsidP="5F7874F6" w:rsidRDefault="00E3141B" w14:paraId="16CD8E95" w14:textId="77777777">
      <w:pPr>
        <w:rPr>
          <w:i w:val="1"/>
          <w:iCs w:val="1"/>
          <w:color w:val="auto"/>
        </w:rPr>
      </w:pPr>
      <w:r w:rsidRPr="5F7874F6" w:rsidR="29D2B89D">
        <w:rPr>
          <w:i w:val="1"/>
          <w:iCs w:val="1"/>
          <w:color w:val="auto"/>
        </w:rPr>
        <w:t>Al retirar de ISOLUCIÓN los documentos de salida (planes, cartillas, informes) para manejarlos exclusivamente por TRD, ¿cómo garantizarán los líderes de proceso que no se pierda el control de las versiones vigentes de estos productos de cara a auditorías externas?</w:t>
      </w:r>
    </w:p>
    <w:p w:rsidRPr="000B4B80" w:rsidR="000B4B80" w:rsidP="5F7874F6" w:rsidRDefault="000B4B80" w14:paraId="518CB403" w14:textId="0AD6E327">
      <w:pPr>
        <w:rPr>
          <w:b w:val="1"/>
          <w:bCs w:val="1"/>
          <w:color w:val="156082" w:themeColor="accent1" w:themeTint="FF" w:themeShade="FF"/>
        </w:rPr>
      </w:pPr>
      <w:r w:rsidRPr="5F7874F6" w:rsidR="20A826DB">
        <w:rPr>
          <w:b w:val="1"/>
          <w:bCs w:val="1"/>
          <w:color w:val="156082" w:themeColor="accent1" w:themeTint="FF" w:themeShade="FF"/>
        </w:rPr>
        <w:t>Respuesta:</w:t>
      </w:r>
    </w:p>
    <w:p w:rsidR="2E37B939" w:rsidP="5F7874F6" w:rsidRDefault="2E37B939" w14:paraId="2CDD623E" w14:textId="40E9D101">
      <w:pPr>
        <w:spacing w:before="240" w:beforeAutospacing="off" w:after="240" w:afterAutospacing="off"/>
        <w:rPr>
          <w:rFonts w:ascii="Aptos" w:hAnsi="Aptos" w:eastAsia="Aptos" w:cs="Aptos"/>
          <w:noProof w:val="0"/>
          <w:color w:val="auto"/>
          <w:sz w:val="24"/>
          <w:szCs w:val="24"/>
          <w:lang w:val="es-CO"/>
        </w:rPr>
      </w:pPr>
      <w:r w:rsidRPr="5F7874F6" w:rsidR="2E37B939">
        <w:rPr>
          <w:rFonts w:ascii="Aptos" w:hAnsi="Aptos" w:eastAsia="Aptos" w:cs="Aptos"/>
          <w:noProof w:val="0"/>
          <w:color w:val="auto"/>
          <w:sz w:val="24"/>
          <w:szCs w:val="24"/>
          <w:lang w:val="es-CO"/>
        </w:rPr>
        <w:t xml:space="preserve">Para garantizar que no se pierda el control de este tipo de </w:t>
      </w:r>
      <w:r w:rsidRPr="5F7874F6" w:rsidR="7B83BD92">
        <w:rPr>
          <w:rFonts w:ascii="Aptos" w:hAnsi="Aptos" w:eastAsia="Aptos" w:cs="Aptos"/>
          <w:noProof w:val="0"/>
          <w:color w:val="auto"/>
          <w:sz w:val="24"/>
          <w:szCs w:val="24"/>
          <w:lang w:val="es-CO"/>
        </w:rPr>
        <w:t>documentos (</w:t>
      </w:r>
      <w:r w:rsidRPr="5F7874F6" w:rsidR="2E37B939">
        <w:rPr>
          <w:rFonts w:ascii="Aptos" w:hAnsi="Aptos" w:eastAsia="Aptos" w:cs="Aptos"/>
          <w:noProof w:val="0"/>
          <w:color w:val="auto"/>
          <w:sz w:val="24"/>
          <w:szCs w:val="24"/>
          <w:lang w:val="es-CO"/>
        </w:rPr>
        <w:t xml:space="preserve">planes, programas, cartillas, informes) frente a las auditorías externas, el aplicativo ISOLUCION los </w:t>
      </w:r>
      <w:r w:rsidRPr="5F7874F6" w:rsidR="6CFC3F6F">
        <w:rPr>
          <w:rFonts w:ascii="Aptos" w:hAnsi="Aptos" w:eastAsia="Aptos" w:cs="Aptos"/>
          <w:noProof w:val="0"/>
          <w:color w:val="auto"/>
          <w:sz w:val="24"/>
          <w:szCs w:val="24"/>
          <w:lang w:val="es-CO"/>
        </w:rPr>
        <w:t>conservará en estado INACTIVO</w:t>
      </w:r>
      <w:r w:rsidRPr="5F7874F6" w:rsidR="2E37B939">
        <w:rPr>
          <w:rFonts w:ascii="Aptos" w:hAnsi="Aptos" w:eastAsia="Aptos" w:cs="Aptos"/>
          <w:noProof w:val="0"/>
          <w:color w:val="auto"/>
          <w:sz w:val="24"/>
          <w:szCs w:val="24"/>
          <w:lang w:val="es-CO"/>
        </w:rPr>
        <w:t>. El propósito de la depuración es delimitar correctamente el uso de las herramientas, operando bajo las siguientes reglas:</w:t>
      </w:r>
    </w:p>
    <w:p w:rsidR="2E37B939" w:rsidP="5F7874F6" w:rsidRDefault="2E37B939" w14:paraId="7203FD27" w14:textId="61B4EA0B">
      <w:pPr>
        <w:pStyle w:val="Prrafodelista"/>
        <w:numPr>
          <w:ilvl w:val="0"/>
          <w:numId w:val="14"/>
        </w:numPr>
        <w:spacing w:before="0" w:beforeAutospacing="off" w:after="0" w:afterAutospacing="off"/>
        <w:rPr>
          <w:rFonts w:ascii="Aptos" w:hAnsi="Aptos" w:eastAsia="Aptos" w:cs="Aptos"/>
          <w:noProof w:val="0"/>
          <w:color w:val="auto"/>
          <w:sz w:val="24"/>
          <w:szCs w:val="24"/>
          <w:lang w:val="es-CO"/>
        </w:rPr>
      </w:pPr>
      <w:r w:rsidRPr="5F7874F6" w:rsidR="2E37B939">
        <w:rPr>
          <w:rFonts w:ascii="Aptos" w:hAnsi="Aptos" w:eastAsia="Aptos" w:cs="Aptos"/>
          <w:b w:val="1"/>
          <w:bCs w:val="1"/>
          <w:noProof w:val="0"/>
          <w:color w:val="auto"/>
          <w:sz w:val="24"/>
          <w:szCs w:val="24"/>
          <w:lang w:val="es-CO"/>
        </w:rPr>
        <w:t>Delimitación del propósito del aplicativo:</w:t>
      </w:r>
      <w:r w:rsidRPr="5F7874F6" w:rsidR="2E37B939">
        <w:rPr>
          <w:rFonts w:ascii="Aptos" w:hAnsi="Aptos" w:eastAsia="Aptos" w:cs="Aptos"/>
          <w:noProof w:val="0"/>
          <w:color w:val="auto"/>
          <w:sz w:val="24"/>
          <w:szCs w:val="24"/>
          <w:lang w:val="es-CO"/>
        </w:rPr>
        <w:t xml:space="preserve"> El objetivo de la depuración es asegurar que, con la Entrada en Operación, el aplicativo ISOLUCIÓN se utilice para su propósito correcto. Su alcance exclusivo es administrar y controlar los documentos que "operativizan" el proceso, es decir, aquellos que establecen "el qué" y "el cómo" de las actividades (políticas, manuales, procedimientos, instructivos y formatos).</w:t>
      </w:r>
    </w:p>
    <w:p w:rsidR="2E37B939" w:rsidP="5F7874F6" w:rsidRDefault="2E37B939" w14:paraId="0D7CEB88" w14:textId="6D402910">
      <w:pPr>
        <w:pStyle w:val="Prrafodelista"/>
        <w:numPr>
          <w:ilvl w:val="0"/>
          <w:numId w:val="14"/>
        </w:numPr>
        <w:spacing w:before="0" w:beforeAutospacing="off" w:after="0" w:afterAutospacing="off"/>
        <w:rPr>
          <w:rFonts w:ascii="Aptos" w:hAnsi="Aptos" w:eastAsia="Aptos" w:cs="Aptos"/>
          <w:noProof w:val="0"/>
          <w:color w:val="auto"/>
          <w:sz w:val="24"/>
          <w:szCs w:val="24"/>
          <w:lang w:val="es-CO"/>
        </w:rPr>
      </w:pPr>
      <w:r w:rsidRPr="5F7874F6" w:rsidR="2E37B939">
        <w:rPr>
          <w:rFonts w:ascii="Aptos" w:hAnsi="Aptos" w:eastAsia="Aptos" w:cs="Aptos"/>
          <w:b w:val="1"/>
          <w:bCs w:val="1"/>
          <w:noProof w:val="0"/>
          <w:color w:val="auto"/>
          <w:sz w:val="24"/>
          <w:szCs w:val="24"/>
          <w:lang w:val="es-CO"/>
        </w:rPr>
        <w:t>Inactivación como medida de respaldo (No eliminación):</w:t>
      </w:r>
      <w:r w:rsidRPr="5F7874F6" w:rsidR="2E37B939">
        <w:rPr>
          <w:rFonts w:ascii="Aptos" w:hAnsi="Aptos" w:eastAsia="Aptos" w:cs="Aptos"/>
          <w:noProof w:val="0"/>
          <w:color w:val="auto"/>
          <w:sz w:val="24"/>
          <w:szCs w:val="24"/>
          <w:lang w:val="es-CO"/>
        </w:rPr>
        <w:t xml:space="preserve"> Como medida de seguridad y respaldo institucional, los documentos </w:t>
      </w:r>
      <w:r w:rsidRPr="5F7874F6" w:rsidR="4BF56B8B">
        <w:rPr>
          <w:rFonts w:ascii="Aptos" w:hAnsi="Aptos" w:eastAsia="Aptos" w:cs="Aptos"/>
          <w:noProof w:val="0"/>
          <w:color w:val="auto"/>
          <w:sz w:val="24"/>
          <w:szCs w:val="24"/>
          <w:lang w:val="es-CO"/>
        </w:rPr>
        <w:t>clasificados en este grupo</w:t>
      </w:r>
      <w:r w:rsidRPr="5F7874F6" w:rsidR="2E37B939">
        <w:rPr>
          <w:rFonts w:ascii="Aptos" w:hAnsi="Aptos" w:eastAsia="Aptos" w:cs="Aptos"/>
          <w:noProof w:val="0"/>
          <w:color w:val="auto"/>
          <w:sz w:val="24"/>
          <w:szCs w:val="24"/>
          <w:lang w:val="es-CO"/>
        </w:rPr>
        <w:t xml:space="preserve"> </w:t>
      </w:r>
      <w:r w:rsidRPr="5F7874F6" w:rsidR="2E37B939">
        <w:rPr>
          <w:rFonts w:ascii="Aptos" w:hAnsi="Aptos" w:eastAsia="Aptos" w:cs="Aptos"/>
          <w:noProof w:val="0"/>
          <w:color w:val="auto"/>
          <w:sz w:val="24"/>
          <w:szCs w:val="24"/>
          <w:lang w:val="es-CO"/>
        </w:rPr>
        <w:t xml:space="preserve">(o aquellos que ya no apliquen en el nuevo modelo) </w:t>
      </w:r>
      <w:r w:rsidRPr="5F7874F6" w:rsidR="2E37B939">
        <w:rPr>
          <w:rFonts w:ascii="Aptos" w:hAnsi="Aptos" w:eastAsia="Aptos" w:cs="Aptos"/>
          <w:b w:val="1"/>
          <w:bCs w:val="1"/>
          <w:noProof w:val="0"/>
          <w:color w:val="auto"/>
          <w:sz w:val="24"/>
          <w:szCs w:val="24"/>
          <w:lang w:val="es-CO"/>
        </w:rPr>
        <w:t>no se eliminan</w:t>
      </w:r>
      <w:r w:rsidRPr="5F7874F6" w:rsidR="2E37B939">
        <w:rPr>
          <w:rFonts w:ascii="Aptos" w:hAnsi="Aptos" w:eastAsia="Aptos" w:cs="Aptos"/>
          <w:noProof w:val="0"/>
          <w:color w:val="auto"/>
          <w:sz w:val="24"/>
          <w:szCs w:val="24"/>
          <w:lang w:val="es-CO"/>
        </w:rPr>
        <w:t xml:space="preserve"> del sistema. Estos documentos únicamente </w:t>
      </w:r>
      <w:r w:rsidRPr="5F7874F6" w:rsidR="2E37B939">
        <w:rPr>
          <w:rFonts w:ascii="Aptos" w:hAnsi="Aptos" w:eastAsia="Aptos" w:cs="Aptos"/>
          <w:b w:val="1"/>
          <w:bCs w:val="1"/>
          <w:noProof w:val="0"/>
          <w:color w:val="auto"/>
          <w:sz w:val="24"/>
          <w:szCs w:val="24"/>
          <w:lang w:val="es-CO"/>
        </w:rPr>
        <w:t>se inactivan</w:t>
      </w:r>
      <w:r w:rsidRPr="5F7874F6" w:rsidR="2E37B939">
        <w:rPr>
          <w:rFonts w:ascii="Aptos" w:hAnsi="Aptos" w:eastAsia="Aptos" w:cs="Aptos"/>
          <w:noProof w:val="0"/>
          <w:color w:val="auto"/>
          <w:sz w:val="24"/>
          <w:szCs w:val="24"/>
          <w:lang w:val="es-CO"/>
        </w:rPr>
        <w:t xml:space="preserve"> en ISOLUCIÓN. Esto garantiza que la información permanezca resguardada en el historial del aplicativo y pueda ser consultada ante cualquier requerimiento de un ente de control.</w:t>
      </w:r>
    </w:p>
    <w:p w:rsidR="2E37B939" w:rsidP="5F7874F6" w:rsidRDefault="2E37B939" w14:paraId="2F337040" w14:textId="4B8C3017">
      <w:pPr>
        <w:pStyle w:val="Prrafodelista"/>
        <w:numPr>
          <w:ilvl w:val="0"/>
          <w:numId w:val="14"/>
        </w:numPr>
        <w:spacing w:before="0" w:beforeAutospacing="off" w:after="0" w:afterAutospacing="off"/>
        <w:rPr>
          <w:rFonts w:ascii="Aptos" w:hAnsi="Aptos" w:eastAsia="Aptos" w:cs="Aptos"/>
          <w:noProof w:val="0"/>
          <w:color w:val="auto"/>
          <w:sz w:val="24"/>
          <w:szCs w:val="24"/>
          <w:lang w:val="es-CO"/>
        </w:rPr>
      </w:pPr>
      <w:r w:rsidRPr="5F7874F6" w:rsidR="2E37B939">
        <w:rPr>
          <w:rFonts w:ascii="Aptos" w:hAnsi="Aptos" w:eastAsia="Aptos" w:cs="Aptos"/>
          <w:b w:val="1"/>
          <w:bCs w:val="1"/>
          <w:noProof w:val="0"/>
          <w:color w:val="auto"/>
          <w:sz w:val="24"/>
          <w:szCs w:val="24"/>
          <w:lang w:val="es-CO"/>
        </w:rPr>
        <w:t>Custodia mediante normatividad archivística:</w:t>
      </w:r>
      <w:r w:rsidRPr="5F7874F6" w:rsidR="2E37B939">
        <w:rPr>
          <w:rFonts w:ascii="Aptos" w:hAnsi="Aptos" w:eastAsia="Aptos" w:cs="Aptos"/>
          <w:noProof w:val="0"/>
          <w:color w:val="auto"/>
          <w:sz w:val="24"/>
          <w:szCs w:val="24"/>
          <w:lang w:val="es-CO"/>
        </w:rPr>
        <w:t xml:space="preserve"> Los documentos que constituyen salidas o productos de las actividades del proceso (como los planes o informes) se retiran del uso activo de ISOLUCIÓN porque para su adecuada custodia, conservación y archivo ya existen los mecanismos establecidos por la normatividad archivística de la entidad. El control de estas versiones vigentes se garantizará mediante la aplicación estricta de las Tablas de Retención Documental (TRD) institucionales.</w:t>
      </w:r>
    </w:p>
    <w:p w:rsidR="2E37B939" w:rsidP="5F7874F6" w:rsidRDefault="2E37B939" w14:paraId="6CB1BAA2" w14:textId="1ADDEADB">
      <w:pPr>
        <w:spacing w:before="240" w:beforeAutospacing="off" w:after="240" w:afterAutospacing="off"/>
        <w:rPr>
          <w:rFonts w:ascii="Aptos" w:hAnsi="Aptos" w:eastAsia="Aptos" w:cs="Aptos"/>
          <w:noProof w:val="0"/>
          <w:color w:val="auto"/>
          <w:sz w:val="24"/>
          <w:szCs w:val="24"/>
          <w:lang w:val="es-CO"/>
        </w:rPr>
      </w:pPr>
      <w:r w:rsidRPr="5F7874F6" w:rsidR="2E37B939">
        <w:rPr>
          <w:rFonts w:ascii="Aptos" w:hAnsi="Aptos" w:eastAsia="Aptos" w:cs="Aptos"/>
          <w:noProof w:val="0"/>
          <w:color w:val="auto"/>
          <w:sz w:val="24"/>
          <w:szCs w:val="24"/>
          <w:lang w:val="es-CO"/>
        </w:rPr>
        <w:t>Con esta directriz, el control se fortalece y se evita la duplicidad: ISOLUCIÓN asegura la operación correcta de la nueva arquitectura y mantiene el respaldo inactivo histórico, mientras que las TRD institucionales administran y custodian las evidencias de los resultados.</w:t>
      </w:r>
    </w:p>
    <w:p w:rsidRPr="00E3141B" w:rsidR="00E3141B" w:rsidP="5F7874F6" w:rsidRDefault="00E3141B" w14:paraId="66E3A086" w14:textId="77777777">
      <w:pPr>
        <w:rPr>
          <w:b w:val="1"/>
          <w:bCs w:val="1"/>
          <w:i w:val="1"/>
          <w:iCs w:val="1"/>
          <w:color w:val="auto"/>
        </w:rPr>
      </w:pPr>
      <w:r w:rsidRPr="5F7874F6" w:rsidR="29D2B89D">
        <w:rPr>
          <w:b w:val="1"/>
          <w:bCs w:val="1"/>
          <w:i w:val="1"/>
          <w:iCs w:val="1"/>
          <w:color w:val="auto"/>
        </w:rPr>
        <w:t>Frente al Fenómeno de Coexistencia e Indicadores Paralelos:</w:t>
      </w:r>
    </w:p>
    <w:p w:rsidR="00E3141B" w:rsidP="5F7874F6" w:rsidRDefault="00E3141B" w14:paraId="45922FF0" w14:textId="77777777">
      <w:pPr>
        <w:rPr>
          <w:i w:val="1"/>
          <w:iCs w:val="1"/>
          <w:color w:val="auto"/>
        </w:rPr>
      </w:pPr>
      <w:r w:rsidRPr="5F7874F6" w:rsidR="29D2B89D">
        <w:rPr>
          <w:i w:val="1"/>
          <w:iCs w:val="1"/>
          <w:color w:val="auto"/>
        </w:rPr>
        <w:t>Dado que los indicadores antiguos se miden en ISOLUCIÓN y los nuevos en SINIC, ¿cómo se mitigará el riesgo de fatiga operativa o doble reporte por parte de los enlaces durante los meses en que convivan ambos sistemas antes del "apagado" definitivo?</w:t>
      </w:r>
    </w:p>
    <w:p w:rsidRPr="00124A48" w:rsidR="009047DF" w:rsidP="5F7874F6" w:rsidRDefault="00124A48" w14:paraId="2684A7E5" w14:textId="3EED639C">
      <w:pPr>
        <w:rPr>
          <w:b w:val="1"/>
          <w:bCs w:val="1"/>
          <w:color w:val="156082" w:themeColor="accent1" w:themeTint="FF" w:themeShade="FF"/>
        </w:rPr>
      </w:pPr>
      <w:r w:rsidRPr="5F7874F6" w:rsidR="24DEB717">
        <w:rPr>
          <w:b w:val="1"/>
          <w:bCs w:val="1"/>
          <w:color w:val="156082" w:themeColor="accent1" w:themeTint="FF" w:themeShade="FF"/>
        </w:rPr>
        <w:t>Respuesta</w:t>
      </w:r>
    </w:p>
    <w:p w:rsidR="009047DF" w:rsidP="5F7874F6" w:rsidRDefault="009047DF" w14:paraId="08E68EFA" w14:textId="7CB8705B">
      <w:pPr>
        <w:rPr>
          <w:color w:val="auto"/>
        </w:rPr>
      </w:pPr>
      <w:r w:rsidRPr="5F7874F6" w:rsidR="53AED8C8">
        <w:rPr>
          <w:color w:val="auto"/>
        </w:rPr>
        <w:t xml:space="preserve">El objetivo de iniciar </w:t>
      </w:r>
      <w:r w:rsidRPr="5F7874F6" w:rsidR="4C2C213B">
        <w:rPr>
          <w:color w:val="auto"/>
        </w:rPr>
        <w:t>paulatinamente</w:t>
      </w:r>
      <w:r w:rsidRPr="5F7874F6" w:rsidR="4EA2FBAE">
        <w:rPr>
          <w:color w:val="auto"/>
        </w:rPr>
        <w:t xml:space="preserve"> con la identificación de indicadores en SINIC es precisamente reducir la fatiga operativa </w:t>
      </w:r>
      <w:r w:rsidRPr="5F7874F6" w:rsidR="4C2C213B">
        <w:rPr>
          <w:color w:val="auto"/>
        </w:rPr>
        <w:t>teniendo</w:t>
      </w:r>
      <w:r w:rsidRPr="5F7874F6" w:rsidR="4EA2FBAE">
        <w:rPr>
          <w:color w:val="auto"/>
        </w:rPr>
        <w:t xml:space="preserve"> en cuenta que los ajustes al sistema que se están realizando por parte de los </w:t>
      </w:r>
      <w:r w:rsidRPr="5F7874F6" w:rsidR="4C2C213B">
        <w:rPr>
          <w:color w:val="auto"/>
        </w:rPr>
        <w:t>profesionales</w:t>
      </w:r>
      <w:r w:rsidRPr="5F7874F6" w:rsidR="122496DA">
        <w:rPr>
          <w:color w:val="auto"/>
        </w:rPr>
        <w:t xml:space="preserve"> que administran el sistema SINIC permitirán realizar cruces de información para indicadores que están asociados a planes o procesos</w:t>
      </w:r>
      <w:r w:rsidRPr="5F7874F6" w:rsidR="409CE360">
        <w:rPr>
          <w:color w:val="auto"/>
        </w:rPr>
        <w:t xml:space="preserve">.  </w:t>
      </w:r>
    </w:p>
    <w:p w:rsidR="00A83F8E" w:rsidP="5F7874F6" w:rsidRDefault="00A83F8E" w14:paraId="6A33294A" w14:textId="77777777">
      <w:pPr>
        <w:rPr>
          <w:color w:val="auto"/>
        </w:rPr>
      </w:pPr>
    </w:p>
    <w:p w:rsidR="00A83F8E" w:rsidP="5F7874F6" w:rsidRDefault="00A83F8E" w14:paraId="44FB260B" w14:textId="1293577A">
      <w:pPr>
        <w:rPr>
          <w:color w:val="auto"/>
        </w:rPr>
      </w:pPr>
      <w:r w:rsidRPr="5F7874F6" w:rsidR="1C841EF5">
        <w:rPr>
          <w:color w:val="auto"/>
        </w:rPr>
        <w:t>Por otra parte, lo que se busca es los procesos y dependencias cuenten con un único sistema para la creación y reporte de indicadores, que para nuestro caso sería SINIC</w:t>
      </w:r>
      <w:r w:rsidRPr="5F7874F6" w:rsidR="52DA1AEC">
        <w:rPr>
          <w:color w:val="auto"/>
        </w:rPr>
        <w:t xml:space="preserve"> </w:t>
      </w:r>
      <w:r w:rsidRPr="5F7874F6" w:rsidR="1C841EF5">
        <w:rPr>
          <w:color w:val="auto"/>
        </w:rPr>
        <w:t xml:space="preserve">Gestión, y así lograr, entre otras cosas, evitar duplicidad de indicadores en dos sistemas diferentes y de dos instrumentos diferentes, como lo son Plan de Acción Institucional, y el Sistema Integrado de Gestión, y </w:t>
      </w:r>
      <w:r w:rsidRPr="5F7874F6" w:rsidR="4547BFA7">
        <w:rPr>
          <w:color w:val="auto"/>
        </w:rPr>
        <w:t>que,</w:t>
      </w:r>
      <w:r w:rsidRPr="5F7874F6" w:rsidR="1C841EF5">
        <w:rPr>
          <w:color w:val="auto"/>
        </w:rPr>
        <w:t xml:space="preserve"> por el contrario, dichos indicadores se puedan complementar, para el análisis y mejora continua de la entidad.</w:t>
      </w:r>
    </w:p>
    <w:p w:rsidRPr="00E3141B" w:rsidR="009047DF" w:rsidP="5F7874F6" w:rsidRDefault="009047DF" w14:paraId="3FA63DDE" w14:textId="77777777">
      <w:pPr>
        <w:rPr>
          <w:color w:val="auto"/>
        </w:rPr>
      </w:pPr>
    </w:p>
    <w:p w:rsidRPr="00E3141B" w:rsidR="00E3141B" w:rsidP="5F7874F6" w:rsidRDefault="00E3141B" w14:paraId="1445DC50" w14:textId="77777777">
      <w:pPr>
        <w:rPr>
          <w:b w:val="1"/>
          <w:bCs w:val="1"/>
          <w:i w:val="1"/>
          <w:iCs w:val="1"/>
          <w:color w:val="auto"/>
        </w:rPr>
      </w:pPr>
      <w:r w:rsidRPr="5F7874F6" w:rsidR="29D2B89D">
        <w:rPr>
          <w:b w:val="1"/>
          <w:bCs w:val="1"/>
          <w:i w:val="1"/>
          <w:iCs w:val="1"/>
          <w:color w:val="auto"/>
        </w:rPr>
        <w:t>Frente al Cierre de Hallazgos Previos:</w:t>
      </w:r>
    </w:p>
    <w:p w:rsidRPr="00E3141B" w:rsidR="00E3141B" w:rsidP="5F7874F6" w:rsidRDefault="00E3141B" w14:paraId="57219F89" w14:textId="543B9650">
      <w:pPr>
        <w:rPr>
          <w:i w:val="1"/>
          <w:iCs w:val="1"/>
          <w:color w:val="auto"/>
        </w:rPr>
      </w:pPr>
      <w:r w:rsidRPr="5F7874F6" w:rsidR="29D2B89D">
        <w:rPr>
          <w:i w:val="1"/>
          <w:iCs w:val="1"/>
          <w:color w:val="auto"/>
        </w:rPr>
        <w:t xml:space="preserve">El documento indica que los planes de mejoramiento vigentes se deben ejecutar y cerrar en su estructura de origen. Si un proceso antiguo se transforma sustancialmente en la nueva transversalidad, </w:t>
      </w:r>
      <w:r w:rsidRPr="5F7874F6" w:rsidR="2EB6C71C">
        <w:rPr>
          <w:i w:val="1"/>
          <w:iCs w:val="1"/>
          <w:color w:val="auto"/>
        </w:rPr>
        <w:t>¿cómo</w:t>
      </w:r>
      <w:r w:rsidRPr="5F7874F6" w:rsidR="29D2B89D">
        <w:rPr>
          <w:i w:val="1"/>
          <w:iCs w:val="1"/>
          <w:color w:val="auto"/>
        </w:rPr>
        <w:t xml:space="preserve"> se garantizará que las acciones correctivas no queden huérfanas o pierdan vigencia frente al nuevo dueño del proceso?</w:t>
      </w:r>
    </w:p>
    <w:p w:rsidR="00E3141B" w:rsidP="5F7874F6" w:rsidRDefault="00E3141B" w14:paraId="18224820" w14:textId="77777777">
      <w:pPr>
        <w:rPr>
          <w:color w:val="auto"/>
        </w:rPr>
      </w:pPr>
    </w:p>
    <w:p w:rsidRPr="00A04131" w:rsidR="00D6799B" w:rsidP="5F7874F6" w:rsidRDefault="00D6799B" w14:paraId="25FA9264" w14:textId="78C66BFF">
      <w:pPr>
        <w:rPr>
          <w:b w:val="1"/>
          <w:bCs w:val="1"/>
          <w:color w:val="156082" w:themeColor="accent1" w:themeTint="FF" w:themeShade="FF"/>
        </w:rPr>
      </w:pPr>
      <w:r w:rsidRPr="5F7874F6" w:rsidR="7DE5FBA8">
        <w:rPr>
          <w:b w:val="1"/>
          <w:bCs w:val="1"/>
          <w:color w:val="156082" w:themeColor="accent1" w:themeTint="FF" w:themeShade="FF"/>
        </w:rPr>
        <w:t>Respuesta:</w:t>
      </w:r>
    </w:p>
    <w:p w:rsidR="00D6799B" w:rsidP="00E3141B" w:rsidRDefault="007715C6" w14:paraId="39E5A9B0" w14:textId="00B21955">
      <w:r w:rsidRPr="5F7874F6" w:rsidR="07F78B5C">
        <w:rPr>
          <w:color w:val="auto"/>
        </w:rPr>
        <w:t>El apagado final de un proceso dependerá que se haya cerrado los planes de mejoramiento que tenga a su cargo</w:t>
      </w:r>
      <w:r w:rsidRPr="5F7874F6" w:rsidR="49961F02">
        <w:rPr>
          <w:color w:val="auto"/>
        </w:rPr>
        <w:t xml:space="preserve">.  Es de anotar que durante la transición convivirán </w:t>
      </w:r>
      <w:r w:rsidR="49961F02">
        <w:rPr/>
        <w:t>los dos mapas de procesos</w:t>
      </w:r>
      <w:r w:rsidR="02E3B779">
        <w:rPr/>
        <w:t>.</w:t>
      </w:r>
    </w:p>
    <w:p w:rsidRPr="00E3141B" w:rsidR="00D6799B" w:rsidP="00E3141B" w:rsidRDefault="00D6799B" w14:paraId="4F44B3CA" w14:textId="77777777"/>
    <w:p w:rsidRPr="00E3141B" w:rsidR="00E3141B" w:rsidP="5F7874F6" w:rsidRDefault="00E3141B" w14:paraId="7635AD04" w14:textId="77777777">
      <w:pPr>
        <w:numPr>
          <w:ilvl w:val="0"/>
          <w:numId w:val="8"/>
        </w:numPr>
        <w:rPr>
          <w:b w:val="1"/>
          <w:bCs w:val="1"/>
          <w:i w:val="1"/>
          <w:iCs w:val="1"/>
        </w:rPr>
      </w:pPr>
      <w:r w:rsidRPr="5F7874F6" w:rsidR="29D2B89D">
        <w:rPr>
          <w:b w:val="1"/>
          <w:bCs w:val="1"/>
          <w:i w:val="1"/>
          <w:iCs w:val="1"/>
        </w:rPr>
        <w:t>“Validación de la versión final del modelo de operación por procesos (…)”</w:t>
      </w:r>
    </w:p>
    <w:p w:rsidR="00E3141B" w:rsidP="5F7874F6" w:rsidRDefault="00E3141B" w14:paraId="043B77E8" w14:textId="77777777">
      <w:pPr>
        <w:rPr>
          <w:i w:val="1"/>
          <w:iCs w:val="1"/>
        </w:rPr>
      </w:pPr>
      <w:r w:rsidRPr="5F7874F6" w:rsidR="29D2B89D">
        <w:rPr>
          <w:i w:val="1"/>
          <w:iCs w:val="1"/>
        </w:rPr>
        <w:t>Frente al MOP y teniendo en cuenta que previamente se había mencionado por parte del GFO que el proceso "Seguimiento y Evaluación Institucional." estaba orientado a los lineamientos establecidos en la Dimensión 4 del MIGP, es importante establecer en el mapa presentado, los límites entre este proceso y Evaluación Independiente, toda vez que como está planteado puede generar confusión sobre el alcance de cada proceso y duplicidad de funciones.</w:t>
      </w:r>
    </w:p>
    <w:p w:rsidR="00A04131" w:rsidP="00E3141B" w:rsidRDefault="00A04131" w14:paraId="6A53D972" w14:textId="77777777"/>
    <w:p w:rsidRPr="004A19F7" w:rsidR="00A04131" w:rsidP="5F7874F6" w:rsidRDefault="00273BAD" w14:paraId="30F37DDB" w14:textId="2193B7C8">
      <w:pPr>
        <w:rPr>
          <w:b w:val="1"/>
          <w:bCs w:val="1"/>
          <w:color w:val="156082" w:themeColor="accent1" w:themeTint="FF" w:themeShade="FF"/>
        </w:rPr>
      </w:pPr>
      <w:r w:rsidRPr="5F7874F6" w:rsidR="1158AA63">
        <w:rPr>
          <w:b w:val="1"/>
          <w:bCs w:val="1"/>
          <w:color w:val="156082" w:themeColor="accent1" w:themeTint="FF" w:themeShade="FF"/>
        </w:rPr>
        <w:t xml:space="preserve">Respuesta.  </w:t>
      </w:r>
    </w:p>
    <w:p w:rsidRPr="00E3141B" w:rsidR="00273BAD" w:rsidP="00E3141B" w:rsidRDefault="00273BAD" w14:paraId="468E6E3A" w14:textId="1C286EC1">
      <w:r>
        <w:t xml:space="preserve">Es de aclarar que cada </w:t>
      </w:r>
      <w:r w:rsidR="00E3726C">
        <w:t>caracterización</w:t>
      </w:r>
      <w:r>
        <w:t xml:space="preserve"> de proceso cuenta con responsables</w:t>
      </w:r>
      <w:r w:rsidR="00E3726C">
        <w:t xml:space="preserve"> definidos y un objetivo y alcance diferente, por lo que los dos procesos mencionados cuentan con actividades y responsabilidades diferentes en el marco de la segunda y tercera línea de defensa</w:t>
      </w:r>
    </w:p>
    <w:p w:rsidR="00D872A2" w:rsidP="004A19F7" w:rsidRDefault="00D872A2" w14:paraId="57DF4827" w14:textId="3F699725"/>
    <w:sectPr w:rsidR="00D872A2">
      <w:pgSz w:w="12240" w:h="15840"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13">
    <w:nsid w:val="312c08c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239a305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1">
    <w:nsid w:val="714b2ca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3c3d081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11563A2B"/>
    <w:multiLevelType w:val="hybridMultilevel"/>
    <w:tmpl w:val="F29E6134"/>
    <w:lvl w:ilvl="0" w:tplc="EDA0CC6C">
      <w:start w:val="2"/>
      <w:numFmt w:val="bullet"/>
      <w:lvlText w:val="-"/>
      <w:lvlJc w:val="left"/>
      <w:pPr>
        <w:ind w:left="720" w:hanging="360"/>
      </w:pPr>
      <w:rPr>
        <w:rFonts w:hint="default" w:ascii="Aptos" w:hAnsi="Aptos" w:eastAsiaTheme="minorHAnsi" w:cstheme="minorBid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 w15:restartNumberingAfterBreak="0">
    <w:nsid w:val="1AFD0B80"/>
    <w:multiLevelType w:val="multilevel"/>
    <w:tmpl w:val="B82ADBD2"/>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15:restartNumberingAfterBreak="0">
    <w:nsid w:val="1E055472"/>
    <w:multiLevelType w:val="multilevel"/>
    <w:tmpl w:val="DB201F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51C6C6D"/>
    <w:multiLevelType w:val="multilevel"/>
    <w:tmpl w:val="CD6E85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DE43DE2"/>
    <w:multiLevelType w:val="multilevel"/>
    <w:tmpl w:val="AEDE231E"/>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 w15:restartNumberingAfterBreak="0">
    <w:nsid w:val="32330C2B"/>
    <w:multiLevelType w:val="multilevel"/>
    <w:tmpl w:val="027ED72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15:restartNumberingAfterBreak="0">
    <w:nsid w:val="34BB2CC0"/>
    <w:multiLevelType w:val="multilevel"/>
    <w:tmpl w:val="199A9E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4704A4C"/>
    <w:multiLevelType w:val="multilevel"/>
    <w:tmpl w:val="0810BAB0"/>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8" w15:restartNumberingAfterBreak="0">
    <w:nsid w:val="553C17C6"/>
    <w:multiLevelType w:val="multilevel"/>
    <w:tmpl w:val="651AEF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DEF5A12"/>
    <w:multiLevelType w:val="hybridMultilevel"/>
    <w:tmpl w:val="58784A70"/>
    <w:lvl w:ilvl="0" w:tplc="EDA0CC6C">
      <w:start w:val="2"/>
      <w:numFmt w:val="bullet"/>
      <w:lvlText w:val="-"/>
      <w:lvlJc w:val="left"/>
      <w:pPr>
        <w:ind w:left="720" w:hanging="360"/>
      </w:pPr>
      <w:rPr>
        <w:rFonts w:hint="default" w:ascii="Aptos" w:hAnsi="Aptos" w:eastAsiaTheme="minorHAnsi" w:cstheme="minorBid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4">
    <w:abstractNumId w:val="13"/>
  </w:num>
  <w:num w:numId="13">
    <w:abstractNumId w:val="12"/>
  </w:num>
  <w:num w:numId="12">
    <w:abstractNumId w:val="11"/>
  </w:num>
  <w:num w:numId="11">
    <w:abstractNumId w:val="10"/>
  </w:num>
  <w:num w:numId="1" w16cid:durableId="1601713770">
    <w:abstractNumId w:val="6"/>
  </w:num>
  <w:num w:numId="2" w16cid:durableId="1216239269">
    <w:abstractNumId w:val="7"/>
  </w:num>
  <w:num w:numId="3" w16cid:durableId="1284996685">
    <w:abstractNumId w:val="4"/>
  </w:num>
  <w:num w:numId="4" w16cid:durableId="148717685">
    <w:abstractNumId w:val="2"/>
  </w:num>
  <w:num w:numId="5" w16cid:durableId="492646220">
    <w:abstractNumId w:val="8"/>
  </w:num>
  <w:num w:numId="6" w16cid:durableId="109783673">
    <w:abstractNumId w:val="5"/>
  </w:num>
  <w:num w:numId="7" w16cid:durableId="1529415770">
    <w:abstractNumId w:val="1"/>
  </w:num>
  <w:num w:numId="8" w16cid:durableId="1230120306">
    <w:abstractNumId w:val="3"/>
  </w:num>
  <w:num w:numId="9" w16cid:durableId="1492941885">
    <w:abstractNumId w:val="0"/>
  </w:num>
  <w:num w:numId="10" w16cid:durableId="17799825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41B"/>
    <w:rsid w:val="000516FD"/>
    <w:rsid w:val="00072457"/>
    <w:rsid w:val="000B4B80"/>
    <w:rsid w:val="000E6C42"/>
    <w:rsid w:val="00124A48"/>
    <w:rsid w:val="001337DB"/>
    <w:rsid w:val="00155FD0"/>
    <w:rsid w:val="001A24D9"/>
    <w:rsid w:val="0020035B"/>
    <w:rsid w:val="002611E0"/>
    <w:rsid w:val="00273BAD"/>
    <w:rsid w:val="003758F6"/>
    <w:rsid w:val="003D4249"/>
    <w:rsid w:val="00436C9A"/>
    <w:rsid w:val="004A19F7"/>
    <w:rsid w:val="005406D3"/>
    <w:rsid w:val="007715C6"/>
    <w:rsid w:val="007F5CA1"/>
    <w:rsid w:val="0088258F"/>
    <w:rsid w:val="008F1484"/>
    <w:rsid w:val="008F1D9C"/>
    <w:rsid w:val="009047DF"/>
    <w:rsid w:val="00987CC6"/>
    <w:rsid w:val="00A04131"/>
    <w:rsid w:val="00A274A4"/>
    <w:rsid w:val="00A434D7"/>
    <w:rsid w:val="00A733BC"/>
    <w:rsid w:val="00A83F8E"/>
    <w:rsid w:val="00AA4621"/>
    <w:rsid w:val="00AC1C9F"/>
    <w:rsid w:val="00B52F0F"/>
    <w:rsid w:val="00B81B1D"/>
    <w:rsid w:val="00C15E76"/>
    <w:rsid w:val="00CA6FF7"/>
    <w:rsid w:val="00CC3E8B"/>
    <w:rsid w:val="00CE4D21"/>
    <w:rsid w:val="00D6799B"/>
    <w:rsid w:val="00D738AE"/>
    <w:rsid w:val="00D872A2"/>
    <w:rsid w:val="00DB4851"/>
    <w:rsid w:val="00DC1465"/>
    <w:rsid w:val="00E3141B"/>
    <w:rsid w:val="00E34EB7"/>
    <w:rsid w:val="00E3726C"/>
    <w:rsid w:val="00E74611"/>
    <w:rsid w:val="00E82AF4"/>
    <w:rsid w:val="00F91553"/>
    <w:rsid w:val="02BF205A"/>
    <w:rsid w:val="02E3B779"/>
    <w:rsid w:val="040A844C"/>
    <w:rsid w:val="05B11444"/>
    <w:rsid w:val="07F78B5C"/>
    <w:rsid w:val="08A3EA0B"/>
    <w:rsid w:val="0A0D2E7B"/>
    <w:rsid w:val="0B9B19CC"/>
    <w:rsid w:val="0C3DD285"/>
    <w:rsid w:val="0E7D47CE"/>
    <w:rsid w:val="104A1F15"/>
    <w:rsid w:val="112B92DD"/>
    <w:rsid w:val="1158AA63"/>
    <w:rsid w:val="122496DA"/>
    <w:rsid w:val="165187C0"/>
    <w:rsid w:val="17955294"/>
    <w:rsid w:val="183945F9"/>
    <w:rsid w:val="1B338ABE"/>
    <w:rsid w:val="1C464998"/>
    <w:rsid w:val="1C841EF5"/>
    <w:rsid w:val="2052F5A5"/>
    <w:rsid w:val="20A826DB"/>
    <w:rsid w:val="20BC3E4A"/>
    <w:rsid w:val="24DEB717"/>
    <w:rsid w:val="25F3394C"/>
    <w:rsid w:val="26CD2F3D"/>
    <w:rsid w:val="29D2B89D"/>
    <w:rsid w:val="2C5E28AF"/>
    <w:rsid w:val="2E37B939"/>
    <w:rsid w:val="2EB6C71C"/>
    <w:rsid w:val="2F0010CB"/>
    <w:rsid w:val="32DB2EDF"/>
    <w:rsid w:val="334E9EAF"/>
    <w:rsid w:val="34F718EB"/>
    <w:rsid w:val="38CBF904"/>
    <w:rsid w:val="38E27859"/>
    <w:rsid w:val="3D0A5076"/>
    <w:rsid w:val="409CE360"/>
    <w:rsid w:val="40CC9D87"/>
    <w:rsid w:val="40FEBFC4"/>
    <w:rsid w:val="44FBC363"/>
    <w:rsid w:val="4547BFA7"/>
    <w:rsid w:val="463F5511"/>
    <w:rsid w:val="49961F02"/>
    <w:rsid w:val="4B06B9B5"/>
    <w:rsid w:val="4B3F6D0F"/>
    <w:rsid w:val="4BF56B8B"/>
    <w:rsid w:val="4C2C213B"/>
    <w:rsid w:val="4E7AD3F9"/>
    <w:rsid w:val="4E84BA57"/>
    <w:rsid w:val="4EA2FBAE"/>
    <w:rsid w:val="4FF90BD1"/>
    <w:rsid w:val="5046B70E"/>
    <w:rsid w:val="50496FE0"/>
    <w:rsid w:val="51435B13"/>
    <w:rsid w:val="518BE043"/>
    <w:rsid w:val="52DA1AEC"/>
    <w:rsid w:val="53567064"/>
    <w:rsid w:val="53AED8C8"/>
    <w:rsid w:val="58DAE72E"/>
    <w:rsid w:val="5CB8FA78"/>
    <w:rsid w:val="5F7874F6"/>
    <w:rsid w:val="60782A42"/>
    <w:rsid w:val="60F06AD1"/>
    <w:rsid w:val="66B93794"/>
    <w:rsid w:val="6835E101"/>
    <w:rsid w:val="68DC57CF"/>
    <w:rsid w:val="6CFC3F6F"/>
    <w:rsid w:val="7236B61C"/>
    <w:rsid w:val="72B7B41C"/>
    <w:rsid w:val="72F32EFE"/>
    <w:rsid w:val="734D2D2D"/>
    <w:rsid w:val="74433F88"/>
    <w:rsid w:val="754413F5"/>
    <w:rsid w:val="7721ACCB"/>
    <w:rsid w:val="7A136D7A"/>
    <w:rsid w:val="7B83BD92"/>
    <w:rsid w:val="7B917B07"/>
    <w:rsid w:val="7D958BE7"/>
    <w:rsid w:val="7DE5FBA8"/>
    <w:rsid w:val="7E06E278"/>
    <w:rsid w:val="7E42D04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314FE"/>
  <w15:chartTrackingRefBased/>
  <w15:docId w15:val="{8AD8870E-EBAD-4AE7-B51B-A6D23C49B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basedOn w:val="Normal"/>
    <w:next w:val="Normal"/>
    <w:link w:val="Ttulo1Car"/>
    <w:uiPriority w:val="9"/>
    <w:qFormat/>
    <w:rsid w:val="00E3141B"/>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E3141B"/>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E3141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3141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3141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3141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3141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3141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3141B"/>
    <w:pPr>
      <w:keepNext/>
      <w:keepLines/>
      <w:spacing w:after="0"/>
      <w:outlineLvl w:val="8"/>
    </w:pPr>
    <w:rPr>
      <w:rFonts w:eastAsiaTheme="majorEastAsia" w:cstheme="majorBidi"/>
      <w:color w:val="272727" w:themeColor="text1" w:themeTint="D8"/>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sid w:val="00E3141B"/>
    <w:rPr>
      <w:rFonts w:asciiTheme="majorHAnsi" w:hAnsiTheme="majorHAnsi" w:eastAsiaTheme="majorEastAsia" w:cstheme="majorBidi"/>
      <w:color w:val="0F4761" w:themeColor="accent1" w:themeShade="BF"/>
      <w:sz w:val="40"/>
      <w:szCs w:val="40"/>
    </w:rPr>
  </w:style>
  <w:style w:type="character" w:styleId="Ttulo2Car" w:customStyle="1">
    <w:name w:val="Título 2 Car"/>
    <w:basedOn w:val="Fuentedeprrafopredeter"/>
    <w:link w:val="Ttulo2"/>
    <w:uiPriority w:val="9"/>
    <w:semiHidden/>
    <w:rsid w:val="00E3141B"/>
    <w:rPr>
      <w:rFonts w:asciiTheme="majorHAnsi" w:hAnsiTheme="majorHAnsi" w:eastAsiaTheme="majorEastAsia" w:cstheme="majorBidi"/>
      <w:color w:val="0F4761" w:themeColor="accent1" w:themeShade="BF"/>
      <w:sz w:val="32"/>
      <w:szCs w:val="32"/>
    </w:rPr>
  </w:style>
  <w:style w:type="character" w:styleId="Ttulo3Car" w:customStyle="1">
    <w:name w:val="Título 3 Car"/>
    <w:basedOn w:val="Fuentedeprrafopredeter"/>
    <w:link w:val="Ttulo3"/>
    <w:uiPriority w:val="9"/>
    <w:semiHidden/>
    <w:rsid w:val="00E3141B"/>
    <w:rPr>
      <w:rFonts w:eastAsiaTheme="majorEastAsia" w:cstheme="majorBidi"/>
      <w:color w:val="0F4761" w:themeColor="accent1" w:themeShade="BF"/>
      <w:sz w:val="28"/>
      <w:szCs w:val="28"/>
    </w:rPr>
  </w:style>
  <w:style w:type="character" w:styleId="Ttulo4Car" w:customStyle="1">
    <w:name w:val="Título 4 Car"/>
    <w:basedOn w:val="Fuentedeprrafopredeter"/>
    <w:link w:val="Ttulo4"/>
    <w:uiPriority w:val="9"/>
    <w:semiHidden/>
    <w:rsid w:val="00E3141B"/>
    <w:rPr>
      <w:rFonts w:eastAsiaTheme="majorEastAsia" w:cstheme="majorBidi"/>
      <w:i/>
      <w:iCs/>
      <w:color w:val="0F4761" w:themeColor="accent1" w:themeShade="BF"/>
    </w:rPr>
  </w:style>
  <w:style w:type="character" w:styleId="Ttulo5Car" w:customStyle="1">
    <w:name w:val="Título 5 Car"/>
    <w:basedOn w:val="Fuentedeprrafopredeter"/>
    <w:link w:val="Ttulo5"/>
    <w:uiPriority w:val="9"/>
    <w:semiHidden/>
    <w:rsid w:val="00E3141B"/>
    <w:rPr>
      <w:rFonts w:eastAsiaTheme="majorEastAsia" w:cstheme="majorBidi"/>
      <w:color w:val="0F4761" w:themeColor="accent1" w:themeShade="BF"/>
    </w:rPr>
  </w:style>
  <w:style w:type="character" w:styleId="Ttulo6Car" w:customStyle="1">
    <w:name w:val="Título 6 Car"/>
    <w:basedOn w:val="Fuentedeprrafopredeter"/>
    <w:link w:val="Ttulo6"/>
    <w:uiPriority w:val="9"/>
    <w:semiHidden/>
    <w:rsid w:val="00E3141B"/>
    <w:rPr>
      <w:rFonts w:eastAsiaTheme="majorEastAsia" w:cstheme="majorBidi"/>
      <w:i/>
      <w:iCs/>
      <w:color w:val="595959" w:themeColor="text1" w:themeTint="A6"/>
    </w:rPr>
  </w:style>
  <w:style w:type="character" w:styleId="Ttulo7Car" w:customStyle="1">
    <w:name w:val="Título 7 Car"/>
    <w:basedOn w:val="Fuentedeprrafopredeter"/>
    <w:link w:val="Ttulo7"/>
    <w:uiPriority w:val="9"/>
    <w:semiHidden/>
    <w:rsid w:val="00E3141B"/>
    <w:rPr>
      <w:rFonts w:eastAsiaTheme="majorEastAsia" w:cstheme="majorBidi"/>
      <w:color w:val="595959" w:themeColor="text1" w:themeTint="A6"/>
    </w:rPr>
  </w:style>
  <w:style w:type="character" w:styleId="Ttulo8Car" w:customStyle="1">
    <w:name w:val="Título 8 Car"/>
    <w:basedOn w:val="Fuentedeprrafopredeter"/>
    <w:link w:val="Ttulo8"/>
    <w:uiPriority w:val="9"/>
    <w:semiHidden/>
    <w:rsid w:val="00E3141B"/>
    <w:rPr>
      <w:rFonts w:eastAsiaTheme="majorEastAsia" w:cstheme="majorBidi"/>
      <w:i/>
      <w:iCs/>
      <w:color w:val="272727" w:themeColor="text1" w:themeTint="D8"/>
    </w:rPr>
  </w:style>
  <w:style w:type="character" w:styleId="Ttulo9Car" w:customStyle="1">
    <w:name w:val="Título 9 Car"/>
    <w:basedOn w:val="Fuentedeprrafopredeter"/>
    <w:link w:val="Ttulo9"/>
    <w:uiPriority w:val="9"/>
    <w:semiHidden/>
    <w:rsid w:val="00E3141B"/>
    <w:rPr>
      <w:rFonts w:eastAsiaTheme="majorEastAsia" w:cstheme="majorBidi"/>
      <w:color w:val="272727" w:themeColor="text1" w:themeTint="D8"/>
    </w:rPr>
  </w:style>
  <w:style w:type="paragraph" w:styleId="Ttulo">
    <w:name w:val="Title"/>
    <w:basedOn w:val="Normal"/>
    <w:next w:val="Normal"/>
    <w:link w:val="TtuloCar"/>
    <w:uiPriority w:val="10"/>
    <w:qFormat/>
    <w:rsid w:val="00E3141B"/>
    <w:pPr>
      <w:spacing w:after="80" w:line="240" w:lineRule="auto"/>
      <w:contextualSpacing/>
    </w:pPr>
    <w:rPr>
      <w:rFonts w:asciiTheme="majorHAnsi" w:hAnsiTheme="majorHAnsi" w:eastAsiaTheme="majorEastAsia" w:cstheme="majorBidi"/>
      <w:spacing w:val="-10"/>
      <w:kern w:val="28"/>
      <w:sz w:val="56"/>
      <w:szCs w:val="56"/>
    </w:rPr>
  </w:style>
  <w:style w:type="character" w:styleId="TtuloCar" w:customStyle="1">
    <w:name w:val="Título Car"/>
    <w:basedOn w:val="Fuentedeprrafopredeter"/>
    <w:link w:val="Ttulo"/>
    <w:uiPriority w:val="10"/>
    <w:rsid w:val="00E3141B"/>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ar"/>
    <w:uiPriority w:val="11"/>
    <w:qFormat/>
    <w:rsid w:val="00E3141B"/>
    <w:pPr>
      <w:numPr>
        <w:ilvl w:val="1"/>
      </w:numPr>
    </w:pPr>
    <w:rPr>
      <w:rFonts w:eastAsiaTheme="majorEastAsia" w:cstheme="majorBidi"/>
      <w:color w:val="595959" w:themeColor="text1" w:themeTint="A6"/>
      <w:spacing w:val="15"/>
      <w:sz w:val="28"/>
      <w:szCs w:val="28"/>
    </w:rPr>
  </w:style>
  <w:style w:type="character" w:styleId="SubttuloCar" w:customStyle="1">
    <w:name w:val="Subtítulo Car"/>
    <w:basedOn w:val="Fuentedeprrafopredeter"/>
    <w:link w:val="Subttulo"/>
    <w:uiPriority w:val="11"/>
    <w:rsid w:val="00E3141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3141B"/>
    <w:pPr>
      <w:spacing w:before="160"/>
      <w:jc w:val="center"/>
    </w:pPr>
    <w:rPr>
      <w:i/>
      <w:iCs/>
      <w:color w:val="404040" w:themeColor="text1" w:themeTint="BF"/>
    </w:rPr>
  </w:style>
  <w:style w:type="character" w:styleId="CitaCar" w:customStyle="1">
    <w:name w:val="Cita Car"/>
    <w:basedOn w:val="Fuentedeprrafopredeter"/>
    <w:link w:val="Cita"/>
    <w:uiPriority w:val="29"/>
    <w:rsid w:val="00E3141B"/>
    <w:rPr>
      <w:i/>
      <w:iCs/>
      <w:color w:val="404040" w:themeColor="text1" w:themeTint="BF"/>
    </w:rPr>
  </w:style>
  <w:style w:type="paragraph" w:styleId="Prrafodelista">
    <w:name w:val="List Paragraph"/>
    <w:basedOn w:val="Normal"/>
    <w:uiPriority w:val="34"/>
    <w:qFormat/>
    <w:rsid w:val="00E3141B"/>
    <w:pPr>
      <w:ind w:left="720"/>
      <w:contextualSpacing/>
    </w:pPr>
  </w:style>
  <w:style w:type="character" w:styleId="nfasisintenso">
    <w:name w:val="Intense Emphasis"/>
    <w:basedOn w:val="Fuentedeprrafopredeter"/>
    <w:uiPriority w:val="21"/>
    <w:qFormat/>
    <w:rsid w:val="00E3141B"/>
    <w:rPr>
      <w:i/>
      <w:iCs/>
      <w:color w:val="0F4761" w:themeColor="accent1" w:themeShade="BF"/>
    </w:rPr>
  </w:style>
  <w:style w:type="paragraph" w:styleId="Citadestacada">
    <w:name w:val="Intense Quote"/>
    <w:basedOn w:val="Normal"/>
    <w:next w:val="Normal"/>
    <w:link w:val="CitadestacadaCar"/>
    <w:uiPriority w:val="30"/>
    <w:qFormat/>
    <w:rsid w:val="00E3141B"/>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destacadaCar" w:customStyle="1">
    <w:name w:val="Cita destacada Car"/>
    <w:basedOn w:val="Fuentedeprrafopredeter"/>
    <w:link w:val="Citadestacada"/>
    <w:uiPriority w:val="30"/>
    <w:rsid w:val="00E3141B"/>
    <w:rPr>
      <w:i/>
      <w:iCs/>
      <w:color w:val="0F4761" w:themeColor="accent1" w:themeShade="BF"/>
    </w:rPr>
  </w:style>
  <w:style w:type="character" w:styleId="Referenciaintensa">
    <w:name w:val="Intense Reference"/>
    <w:basedOn w:val="Fuentedeprrafopredeter"/>
    <w:uiPriority w:val="32"/>
    <w:qFormat/>
    <w:rsid w:val="00E3141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F96AB6E6B4AB548AC915DFE0E5BD5C3" ma:contentTypeVersion="16" ma:contentTypeDescription="Crear nuevo documento." ma:contentTypeScope="" ma:versionID="37ead0208507a92738e74222cd433a12">
  <xsd:schema xmlns:xsd="http://www.w3.org/2001/XMLSchema" xmlns:xs="http://www.w3.org/2001/XMLSchema" xmlns:p="http://schemas.microsoft.com/office/2006/metadata/properties" xmlns:ns2="57c73dd0-5b45-4428-a631-9168dd112c2f" xmlns:ns3="1d56f6f6-a4cb-4619-9869-18b0906e0981" targetNamespace="http://schemas.microsoft.com/office/2006/metadata/properties" ma:root="true" ma:fieldsID="04d07d26f23920d242a0cb2211d57821" ns2:_="" ns3:_="">
    <xsd:import namespace="57c73dd0-5b45-4428-a631-9168dd112c2f"/>
    <xsd:import namespace="1d56f6f6-a4cb-4619-9869-18b0906e09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Valor" minOccurs="0"/>
                <xsd:element ref="ns2:MediaServiceBillingMetadata" minOccurs="0"/>
                <xsd:element ref="ns2:Contenid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c73dd0-5b45-4428-a631-9168dd112c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Valor" ma:index="21" nillable="true" ma:displayName="Valor" ma:default="1" ma:format="Dropdown" ma:internalName="Valor" ma:percentage="FALSE">
      <xsd:simpleType>
        <xsd:restriction base="dms:Number"/>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Contenido" ma:index="23" nillable="true" ma:displayName="Contenido" ma:decimals="0" ma:description="se muestra cuantos elementos tiene" ma:internalName="Contenido">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1d56f6f6-a4cb-4619-9869-18b0906e09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f5b2f3-6996-4e0d-9f1d-ac3d3510249c}" ma:internalName="TaxCatchAll" ma:showField="CatchAllData" ma:web="1d56f6f6-a4cb-4619-9869-18b0906e09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d56f6f6-a4cb-4619-9869-18b0906e0981" xsi:nil="true"/>
    <Contenido xmlns="57c73dd0-5b45-4428-a631-9168dd112c2f" xsi:nil="true"/>
    <lcf76f155ced4ddcb4097134ff3c332f xmlns="57c73dd0-5b45-4428-a631-9168dd112c2f">
      <Terms xmlns="http://schemas.microsoft.com/office/infopath/2007/PartnerControls"/>
    </lcf76f155ced4ddcb4097134ff3c332f>
    <Valor xmlns="57c73dd0-5b45-4428-a631-9168dd112c2f">1</Valor>
  </documentManagement>
</p:properties>
</file>

<file path=customXml/itemProps1.xml><?xml version="1.0" encoding="utf-8"?>
<ds:datastoreItem xmlns:ds="http://schemas.openxmlformats.org/officeDocument/2006/customXml" ds:itemID="{9F57B3DE-7BF7-449A-9BF3-9C12F8F922A8}"/>
</file>

<file path=customXml/itemProps2.xml><?xml version="1.0" encoding="utf-8"?>
<ds:datastoreItem xmlns:ds="http://schemas.openxmlformats.org/officeDocument/2006/customXml" ds:itemID="{009B2753-69AA-441A-85DE-92276CC8D08F}"/>
</file>

<file path=customXml/itemProps3.xml><?xml version="1.0" encoding="utf-8"?>
<ds:datastoreItem xmlns:ds="http://schemas.openxmlformats.org/officeDocument/2006/customXml" ds:itemID="{6C1A8813-57F0-4619-8B30-780ACAE4CAD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quitian</dc:creator>
  <cp:keywords/>
  <dc:description/>
  <cp:lastModifiedBy>Carlos Alberto Quitian Salazar</cp:lastModifiedBy>
  <cp:revision>3</cp:revision>
  <dcterms:created xsi:type="dcterms:W3CDTF">2026-06-18T14:03:00Z</dcterms:created>
  <dcterms:modified xsi:type="dcterms:W3CDTF">2026-06-18T14:50:59Z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0x0101002F96AB6E6B4AB548AC915DFE0E5BD5C3</vt:lpwstr>
  </property>
</Properties>
</file>